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18B9" w:rsidRPr="00442195" w:rsidRDefault="00C418B9" w:rsidP="00257DFF">
      <w:pPr>
        <w:autoSpaceDE w:val="0"/>
        <w:autoSpaceDN w:val="0"/>
        <w:adjustRightInd w:val="0"/>
        <w:spacing w:after="0" w:line="360" w:lineRule="auto"/>
        <w:jc w:val="center"/>
        <w:rPr>
          <w:rFonts w:asciiTheme="majorBidi" w:hAnsiTheme="majorBidi" w:cstheme="majorBidi"/>
          <w:b/>
          <w:bCs/>
          <w:sz w:val="24"/>
          <w:szCs w:val="24"/>
        </w:rPr>
      </w:pPr>
      <w:r w:rsidRPr="009E3D45">
        <w:rPr>
          <w:rFonts w:asciiTheme="majorBidi" w:hAnsiTheme="majorBidi" w:cstheme="majorBidi"/>
          <w:b/>
          <w:bCs/>
          <w:sz w:val="32"/>
          <w:szCs w:val="32"/>
        </w:rPr>
        <w:t>Partie</w:t>
      </w:r>
      <w:r w:rsidR="00257DFF" w:rsidRPr="00257DFF">
        <w:rPr>
          <w:rFonts w:asciiTheme="majorBidi" w:hAnsiTheme="majorBidi" w:cstheme="majorBidi"/>
          <w:b/>
          <w:bCs/>
          <w:sz w:val="32"/>
          <w:szCs w:val="32"/>
        </w:rPr>
        <w:t xml:space="preserve"> I</w:t>
      </w:r>
      <w:r>
        <w:rPr>
          <w:rFonts w:asciiTheme="majorBidi" w:hAnsiTheme="majorBidi" w:cstheme="majorBidi"/>
          <w:b/>
          <w:bCs/>
          <w:sz w:val="24"/>
          <w:szCs w:val="24"/>
        </w:rPr>
        <w:t>:</w:t>
      </w:r>
      <w:r w:rsidRPr="00442195">
        <w:rPr>
          <w:rFonts w:asciiTheme="majorBidi" w:hAnsiTheme="majorBidi" w:cstheme="majorBidi"/>
          <w:b/>
          <w:bCs/>
          <w:sz w:val="24"/>
          <w:szCs w:val="24"/>
        </w:rPr>
        <w:t xml:space="preserve"> Généralité sur l’érosion hydrique, le transport solide et l’envasement</w:t>
      </w:r>
    </w:p>
    <w:p w:rsidR="00C418B9" w:rsidRDefault="00C418B9" w:rsidP="00C418B9">
      <w:pPr>
        <w:autoSpaceDE w:val="0"/>
        <w:autoSpaceDN w:val="0"/>
        <w:adjustRightInd w:val="0"/>
        <w:spacing w:after="0" w:line="360" w:lineRule="auto"/>
        <w:jc w:val="both"/>
        <w:rPr>
          <w:rFonts w:asciiTheme="majorBidi" w:hAnsiTheme="majorBidi" w:cstheme="majorBidi"/>
          <w:b/>
          <w:bCs/>
          <w:sz w:val="24"/>
          <w:szCs w:val="24"/>
        </w:rPr>
      </w:pPr>
    </w:p>
    <w:p w:rsidR="00C418B9" w:rsidRPr="00C418B9" w:rsidRDefault="00C418B9" w:rsidP="00C418B9">
      <w:pPr>
        <w:autoSpaceDE w:val="0"/>
        <w:autoSpaceDN w:val="0"/>
        <w:adjustRightInd w:val="0"/>
        <w:spacing w:after="0"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sidR="00257DFF" w:rsidRPr="00257DFF">
        <w:rPr>
          <w:rFonts w:asciiTheme="majorBidi" w:hAnsiTheme="majorBidi" w:cstheme="majorBidi"/>
          <w:b/>
          <w:bCs/>
          <w:sz w:val="24"/>
          <w:szCs w:val="24"/>
        </w:rPr>
        <w:t xml:space="preserve"> </w:t>
      </w:r>
      <w:r w:rsidR="00257DFF" w:rsidRPr="00C418B9">
        <w:rPr>
          <w:rFonts w:asciiTheme="majorBidi" w:hAnsiTheme="majorBidi" w:cstheme="majorBidi"/>
          <w:b/>
          <w:bCs/>
          <w:sz w:val="24"/>
          <w:szCs w:val="24"/>
        </w:rPr>
        <w:t xml:space="preserve">I </w:t>
      </w:r>
      <w:r w:rsidR="00257DFF">
        <w:rPr>
          <w:rFonts w:asciiTheme="majorBidi" w:hAnsiTheme="majorBidi" w:cstheme="majorBidi"/>
          <w:b/>
          <w:bCs/>
          <w:sz w:val="24"/>
          <w:szCs w:val="24"/>
        </w:rPr>
        <w:t>.</w:t>
      </w:r>
      <w:r w:rsidRPr="00C418B9">
        <w:rPr>
          <w:rFonts w:asciiTheme="majorBidi" w:hAnsiTheme="majorBidi" w:cstheme="majorBidi"/>
          <w:b/>
          <w:bCs/>
          <w:sz w:val="24"/>
          <w:szCs w:val="24"/>
        </w:rPr>
        <w:t xml:space="preserve">1- L’érosion hydrique : </w:t>
      </w:r>
    </w:p>
    <w:p w:rsidR="00C418B9" w:rsidRDefault="00C418B9" w:rsidP="00C418B9">
      <w:pPr>
        <w:autoSpaceDE w:val="0"/>
        <w:autoSpaceDN w:val="0"/>
        <w:adjustRightInd w:val="0"/>
        <w:spacing w:after="0" w:line="360" w:lineRule="auto"/>
        <w:jc w:val="both"/>
        <w:rPr>
          <w:rFonts w:asciiTheme="majorBidi" w:hAnsiTheme="majorBidi" w:cstheme="majorBidi"/>
          <w:b/>
          <w:bCs/>
          <w:sz w:val="24"/>
          <w:szCs w:val="24"/>
        </w:rPr>
      </w:pPr>
      <w:r w:rsidRPr="00442195">
        <w:rPr>
          <w:rFonts w:asciiTheme="majorBidi" w:hAnsiTheme="majorBidi" w:cstheme="majorBidi"/>
          <w:b/>
          <w:bCs/>
          <w:sz w:val="24"/>
          <w:szCs w:val="24"/>
        </w:rPr>
        <w:t>I.</w:t>
      </w:r>
      <w:r w:rsidR="00257DFF" w:rsidRPr="00257DFF">
        <w:rPr>
          <w:rFonts w:asciiTheme="majorBidi" w:hAnsiTheme="majorBidi" w:cstheme="majorBidi"/>
          <w:b/>
          <w:bCs/>
          <w:sz w:val="24"/>
          <w:szCs w:val="24"/>
        </w:rPr>
        <w:t xml:space="preserve"> </w:t>
      </w:r>
      <w:r w:rsidR="00257DFF" w:rsidRPr="00C418B9">
        <w:rPr>
          <w:rFonts w:asciiTheme="majorBidi" w:hAnsiTheme="majorBidi" w:cstheme="majorBidi"/>
          <w:b/>
          <w:bCs/>
          <w:sz w:val="24"/>
          <w:szCs w:val="24"/>
        </w:rPr>
        <w:t>I</w:t>
      </w:r>
      <w:r w:rsidR="00257DFF" w:rsidRPr="00442195">
        <w:rPr>
          <w:rFonts w:asciiTheme="majorBidi" w:hAnsiTheme="majorBidi" w:cstheme="majorBidi"/>
          <w:b/>
          <w:bCs/>
          <w:sz w:val="24"/>
          <w:szCs w:val="24"/>
        </w:rPr>
        <w:t xml:space="preserve"> </w:t>
      </w:r>
      <w:r w:rsidR="00257DFF">
        <w:rPr>
          <w:rFonts w:asciiTheme="majorBidi" w:hAnsiTheme="majorBidi" w:cstheme="majorBidi"/>
          <w:b/>
          <w:bCs/>
          <w:sz w:val="24"/>
          <w:szCs w:val="24"/>
        </w:rPr>
        <w:t>.</w:t>
      </w:r>
      <w:r w:rsidRPr="00442195">
        <w:rPr>
          <w:rFonts w:asciiTheme="majorBidi" w:hAnsiTheme="majorBidi" w:cstheme="majorBidi"/>
          <w:b/>
          <w:bCs/>
          <w:sz w:val="24"/>
          <w:szCs w:val="24"/>
        </w:rPr>
        <w:t>1.1- Généralité :</w:t>
      </w:r>
    </w:p>
    <w:p w:rsidR="00C418B9" w:rsidRPr="00C418B9" w:rsidRDefault="00C418B9" w:rsidP="004B33CF">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r w:rsidRPr="00442195">
        <w:rPr>
          <w:rFonts w:asciiTheme="majorBidi" w:hAnsiTheme="majorBidi" w:cstheme="majorBidi"/>
          <w:sz w:val="24"/>
          <w:szCs w:val="24"/>
        </w:rPr>
        <w:t>D’une manière générale, l’érosion des sols correspond au “détachement ” et au “transport” des particules de sol, par différents agents (gravité, eau, vent, glace), de leur emplacement d’origine à un endroit de “dépôt” à l’aval. Dans tous les cas, ces mouvements de sol sont des processus discontinus à fortes variations spatio-temporelles, difficiles à décrire sous forme d’équations mathématiques.</w:t>
      </w:r>
    </w:p>
    <w:p w:rsidR="00C418B9" w:rsidRPr="00442195" w:rsidRDefault="00257DFF" w:rsidP="00C418B9">
      <w:pPr>
        <w:autoSpaceDE w:val="0"/>
        <w:autoSpaceDN w:val="0"/>
        <w:adjustRightInd w:val="0"/>
        <w:spacing w:after="0" w:line="48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Pr>
          <w:rFonts w:asciiTheme="majorBidi" w:hAnsiTheme="majorBidi" w:cstheme="majorBidi"/>
          <w:b/>
          <w:bCs/>
          <w:sz w:val="24"/>
          <w:szCs w:val="24"/>
        </w:rPr>
        <w:t>.</w:t>
      </w:r>
      <w:r w:rsidR="00C418B9" w:rsidRPr="00442195">
        <w:rPr>
          <w:rFonts w:asciiTheme="majorBidi" w:hAnsiTheme="majorBidi" w:cstheme="majorBidi"/>
          <w:b/>
          <w:bCs/>
          <w:sz w:val="24"/>
          <w:szCs w:val="24"/>
        </w:rPr>
        <w:t xml:space="preserve">I.1.2- Les principaux agents de l’érosion hydrique : </w:t>
      </w:r>
    </w:p>
    <w:p w:rsidR="00C418B9" w:rsidRPr="00442195" w:rsidRDefault="00257DFF" w:rsidP="00C418B9">
      <w:pPr>
        <w:autoSpaceDE w:val="0"/>
        <w:autoSpaceDN w:val="0"/>
        <w:adjustRightInd w:val="0"/>
        <w:spacing w:after="0"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Pr>
          <w:rFonts w:asciiTheme="majorBidi" w:hAnsiTheme="majorBidi" w:cstheme="majorBidi"/>
          <w:b/>
          <w:bCs/>
          <w:sz w:val="24"/>
          <w:szCs w:val="24"/>
        </w:rPr>
        <w:t>.</w:t>
      </w:r>
      <w:r w:rsidR="00C418B9" w:rsidRPr="00442195">
        <w:rPr>
          <w:rFonts w:asciiTheme="majorBidi" w:hAnsiTheme="majorBidi" w:cstheme="majorBidi"/>
          <w:b/>
          <w:bCs/>
          <w:sz w:val="24"/>
          <w:szCs w:val="24"/>
        </w:rPr>
        <w:t>I.1.2.1- Intensité et agressivité des précipitations :</w:t>
      </w:r>
    </w:p>
    <w:p w:rsidR="00C418B9" w:rsidRPr="00442195" w:rsidRDefault="00C418B9" w:rsidP="00C418B9">
      <w:pPr>
        <w:autoSpaceDE w:val="0"/>
        <w:autoSpaceDN w:val="0"/>
        <w:adjustRightInd w:val="0"/>
        <w:spacing w:after="0" w:line="360" w:lineRule="auto"/>
        <w:ind w:left="142"/>
        <w:jc w:val="both"/>
        <w:rPr>
          <w:rFonts w:asciiTheme="majorBidi" w:hAnsiTheme="majorBidi" w:cstheme="majorBidi"/>
          <w:sz w:val="24"/>
          <w:szCs w:val="24"/>
        </w:rPr>
      </w:pPr>
      <w:r>
        <w:rPr>
          <w:rFonts w:asciiTheme="majorBidi" w:hAnsiTheme="majorBidi" w:cstheme="majorBidi"/>
          <w:sz w:val="24"/>
          <w:szCs w:val="24"/>
        </w:rPr>
        <w:t xml:space="preserve">     </w:t>
      </w:r>
      <w:r w:rsidRPr="00442195">
        <w:rPr>
          <w:rFonts w:asciiTheme="majorBidi" w:hAnsiTheme="majorBidi" w:cstheme="majorBidi"/>
          <w:sz w:val="24"/>
          <w:szCs w:val="24"/>
        </w:rPr>
        <w:t>La désagrégation de la structure et le détachement des particules sous l’impact des gouttes de pluie résultent du “travail” exercé par les gouttes à la surface du sol. Il est donc lié à l’énergie cinétique des gouttes Ec.</w:t>
      </w:r>
    </w:p>
    <w:tbl>
      <w:tblPr>
        <w:tblStyle w:val="Grilledutableau"/>
        <w:tblW w:w="0" w:type="auto"/>
        <w:tblInd w:w="2660" w:type="dxa"/>
        <w:tblLook w:val="04A0"/>
      </w:tblPr>
      <w:tblGrid>
        <w:gridCol w:w="2977"/>
      </w:tblGrid>
      <w:tr w:rsidR="00C418B9" w:rsidRPr="00442195" w:rsidTr="008C3239">
        <w:trPr>
          <w:trHeight w:val="490"/>
        </w:trPr>
        <w:tc>
          <w:tcPr>
            <w:tcW w:w="2977" w:type="dxa"/>
          </w:tcPr>
          <w:p w:rsidR="00C418B9" w:rsidRPr="00442195" w:rsidRDefault="00C418B9" w:rsidP="008C3239">
            <w:pPr>
              <w:autoSpaceDE w:val="0"/>
              <w:autoSpaceDN w:val="0"/>
              <w:adjustRightInd w:val="0"/>
              <w:spacing w:line="360" w:lineRule="auto"/>
              <w:jc w:val="center"/>
              <w:rPr>
                <w:rFonts w:asciiTheme="majorBidi" w:hAnsiTheme="majorBidi" w:cstheme="majorBidi"/>
                <w:b/>
                <w:bCs/>
                <w:sz w:val="24"/>
                <w:szCs w:val="24"/>
              </w:rPr>
            </w:pPr>
            <w:r w:rsidRPr="00442195">
              <w:rPr>
                <w:rFonts w:asciiTheme="majorBidi" w:hAnsiTheme="majorBidi" w:cstheme="majorBidi"/>
                <w:b/>
                <w:bCs/>
                <w:sz w:val="24"/>
                <w:szCs w:val="24"/>
              </w:rPr>
              <w:t>Ec = ½ m.V</w:t>
            </w:r>
            <w:r w:rsidRPr="00442195">
              <w:rPr>
                <w:rFonts w:asciiTheme="majorBidi" w:hAnsiTheme="majorBidi" w:cstheme="majorBidi"/>
                <w:b/>
                <w:bCs/>
                <w:sz w:val="24"/>
                <w:szCs w:val="24"/>
                <w:vertAlign w:val="superscript"/>
              </w:rPr>
              <w:t>2</w:t>
            </w:r>
          </w:p>
        </w:tc>
      </w:tr>
    </w:tbl>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 xml:space="preserve">  Où :</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 xml:space="preserve">     E</w:t>
      </w:r>
      <w:r w:rsidRPr="00442195">
        <w:rPr>
          <w:rFonts w:asciiTheme="majorBidi" w:hAnsiTheme="majorBidi" w:cstheme="majorBidi"/>
          <w:sz w:val="24"/>
          <w:szCs w:val="24"/>
          <w:vertAlign w:val="subscript"/>
        </w:rPr>
        <w:t>C :</w:t>
      </w:r>
      <w:r w:rsidRPr="00442195">
        <w:rPr>
          <w:rFonts w:asciiTheme="majorBidi" w:hAnsiTheme="majorBidi" w:cstheme="majorBidi"/>
          <w:sz w:val="24"/>
          <w:szCs w:val="24"/>
        </w:rPr>
        <w:t xml:space="preserve"> l’énergie cinétique </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 xml:space="preserve">   m : la masse de la goutte</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 xml:space="preserve">   v : la viteese (m/s)</w:t>
      </w:r>
    </w:p>
    <w:p w:rsidR="00C418B9" w:rsidRPr="00442195" w:rsidRDefault="003814A2" w:rsidP="00C418B9">
      <w:pPr>
        <w:rPr>
          <w:rFonts w:asciiTheme="majorBidi" w:hAnsiTheme="majorBidi" w:cstheme="majorBidi"/>
          <w:sz w:val="24"/>
          <w:szCs w:val="24"/>
        </w:rPr>
      </w:pPr>
      <w:r w:rsidRPr="00442195">
        <w:rPr>
          <w:rFonts w:asciiTheme="majorBidi" w:hAnsiTheme="majorBidi" w:cstheme="majorBidi"/>
          <w:sz w:val="24"/>
          <w:szCs w:val="24"/>
        </w:rPr>
        <w:t>L’agressivité</w:t>
      </w:r>
      <w:r w:rsidR="00C418B9" w:rsidRPr="00442195">
        <w:rPr>
          <w:rFonts w:asciiTheme="majorBidi" w:hAnsiTheme="majorBidi" w:cstheme="majorBidi"/>
          <w:sz w:val="24"/>
          <w:szCs w:val="24"/>
        </w:rPr>
        <w:t xml:space="preserve"> des pluies. Il existe d’ailleurs une relation empirique reliant l’intensité d’une pluie et son énergie cinétique (Remy,J.C.et al. 1998).</w:t>
      </w:r>
    </w:p>
    <w:tbl>
      <w:tblPr>
        <w:tblW w:w="0" w:type="auto"/>
        <w:jc w:val="center"/>
        <w:tblInd w:w="2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510"/>
      </w:tblGrid>
      <w:tr w:rsidR="00C418B9" w:rsidRPr="00442195" w:rsidTr="00C418B9">
        <w:trPr>
          <w:trHeight w:val="480"/>
          <w:jc w:val="center"/>
        </w:trPr>
        <w:tc>
          <w:tcPr>
            <w:tcW w:w="3510" w:type="dxa"/>
          </w:tcPr>
          <w:p w:rsidR="00C418B9" w:rsidRPr="00442195" w:rsidRDefault="00C418B9" w:rsidP="008C3239">
            <w:pPr>
              <w:autoSpaceDE w:val="0"/>
              <w:autoSpaceDN w:val="0"/>
              <w:adjustRightInd w:val="0"/>
              <w:spacing w:after="0" w:line="360" w:lineRule="auto"/>
              <w:jc w:val="center"/>
              <w:rPr>
                <w:rFonts w:asciiTheme="majorBidi" w:hAnsiTheme="majorBidi" w:cstheme="majorBidi"/>
                <w:b/>
                <w:bCs/>
                <w:sz w:val="24"/>
                <w:szCs w:val="24"/>
              </w:rPr>
            </w:pPr>
            <w:r w:rsidRPr="00442195">
              <w:rPr>
                <w:rFonts w:asciiTheme="majorBidi" w:hAnsiTheme="majorBidi" w:cstheme="majorBidi"/>
                <w:b/>
                <w:bCs/>
                <w:sz w:val="24"/>
                <w:szCs w:val="24"/>
              </w:rPr>
              <w:t>Ec = 11.9 + 8.73log Ip</w:t>
            </w:r>
          </w:p>
        </w:tc>
      </w:tr>
    </w:tbl>
    <w:p w:rsidR="00C418B9" w:rsidRPr="00442195" w:rsidRDefault="00C418B9" w:rsidP="00C418B9">
      <w:pPr>
        <w:autoSpaceDE w:val="0"/>
        <w:autoSpaceDN w:val="0"/>
        <w:adjustRightInd w:val="0"/>
        <w:spacing w:after="0" w:line="360" w:lineRule="auto"/>
        <w:rPr>
          <w:rFonts w:asciiTheme="majorBidi" w:hAnsiTheme="majorBidi" w:cstheme="majorBidi"/>
          <w:sz w:val="24"/>
          <w:szCs w:val="24"/>
        </w:rPr>
      </w:pPr>
      <w:r w:rsidRPr="00442195">
        <w:rPr>
          <w:rFonts w:asciiTheme="majorBidi" w:hAnsiTheme="majorBidi" w:cstheme="majorBidi"/>
          <w:sz w:val="24"/>
          <w:szCs w:val="24"/>
        </w:rPr>
        <w:t>Avec :</w:t>
      </w:r>
    </w:p>
    <w:p w:rsidR="00C418B9" w:rsidRPr="00442195" w:rsidRDefault="00C418B9" w:rsidP="00C418B9">
      <w:pPr>
        <w:autoSpaceDE w:val="0"/>
        <w:autoSpaceDN w:val="0"/>
        <w:adjustRightInd w:val="0"/>
        <w:spacing w:after="0" w:line="360" w:lineRule="auto"/>
        <w:rPr>
          <w:rFonts w:asciiTheme="majorBidi" w:hAnsiTheme="majorBidi" w:cstheme="majorBidi"/>
          <w:sz w:val="24"/>
          <w:szCs w:val="24"/>
          <w:vertAlign w:val="subscript"/>
        </w:rPr>
      </w:pPr>
      <w:r w:rsidRPr="00442195">
        <w:rPr>
          <w:rFonts w:asciiTheme="majorBidi" w:hAnsiTheme="majorBidi" w:cstheme="majorBidi"/>
          <w:sz w:val="24"/>
          <w:szCs w:val="24"/>
        </w:rPr>
        <w:t>E</w:t>
      </w:r>
      <w:r w:rsidRPr="00442195">
        <w:rPr>
          <w:rFonts w:asciiTheme="majorBidi" w:hAnsiTheme="majorBidi" w:cstheme="majorBidi"/>
          <w:sz w:val="24"/>
          <w:szCs w:val="24"/>
          <w:vertAlign w:val="subscript"/>
        </w:rPr>
        <w:t xml:space="preserve">C : </w:t>
      </w:r>
      <w:r w:rsidRPr="00442195">
        <w:rPr>
          <w:rFonts w:asciiTheme="majorBidi" w:hAnsiTheme="majorBidi" w:cstheme="majorBidi"/>
          <w:sz w:val="24"/>
          <w:szCs w:val="24"/>
        </w:rPr>
        <w:t>l’énergie cinétique</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I</w:t>
      </w:r>
      <w:r w:rsidRPr="00442195">
        <w:rPr>
          <w:rFonts w:asciiTheme="majorBidi" w:hAnsiTheme="majorBidi" w:cstheme="majorBidi"/>
          <w:sz w:val="24"/>
          <w:szCs w:val="24"/>
          <w:vertAlign w:val="subscript"/>
        </w:rPr>
        <w:t>P :</w:t>
      </w:r>
      <w:r w:rsidRPr="00442195">
        <w:rPr>
          <w:rFonts w:asciiTheme="majorBidi" w:hAnsiTheme="majorBidi" w:cstheme="majorBidi"/>
          <w:sz w:val="24"/>
          <w:szCs w:val="24"/>
        </w:rPr>
        <w:t xml:space="preserve"> intensité de pluie en mm/h.</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r w:rsidRPr="00442195">
        <w:rPr>
          <w:rFonts w:asciiTheme="majorBidi" w:hAnsiTheme="majorBidi" w:cstheme="majorBidi"/>
          <w:sz w:val="24"/>
          <w:szCs w:val="24"/>
        </w:rPr>
        <w:t>L’impact direct des gouttes de pluie provoque non seulement le délitage et la fragmentation des agrégats du sol, mais également l’entraînement et la projection des particules dans toutes les directions. Ce rejaillissement peut être important. Plusieurs chercheurs ont essayé de quantifier cette masse de sol détachée (Dp) expérimentalement. Les relations obtenues sont en général de la forme (Poessen, J. 1984).</w:t>
      </w:r>
    </w:p>
    <w:tbl>
      <w:tblPr>
        <w:tblStyle w:val="Grilledutableau"/>
        <w:tblW w:w="0" w:type="auto"/>
        <w:jc w:val="center"/>
        <w:tblInd w:w="3510" w:type="dxa"/>
        <w:tblLook w:val="04A0"/>
      </w:tblPr>
      <w:tblGrid>
        <w:gridCol w:w="3119"/>
      </w:tblGrid>
      <w:tr w:rsidR="00C418B9" w:rsidRPr="00442195" w:rsidTr="00C418B9">
        <w:trPr>
          <w:jc w:val="center"/>
        </w:trPr>
        <w:tc>
          <w:tcPr>
            <w:tcW w:w="3119" w:type="dxa"/>
          </w:tcPr>
          <w:p w:rsidR="00C418B9" w:rsidRPr="00442195" w:rsidRDefault="00C418B9" w:rsidP="008C3239">
            <w:pPr>
              <w:autoSpaceDE w:val="0"/>
              <w:autoSpaceDN w:val="0"/>
              <w:adjustRightInd w:val="0"/>
              <w:spacing w:line="360" w:lineRule="auto"/>
              <w:jc w:val="center"/>
              <w:rPr>
                <w:rFonts w:asciiTheme="majorBidi" w:hAnsiTheme="majorBidi" w:cstheme="majorBidi"/>
                <w:b/>
                <w:bCs/>
                <w:sz w:val="24"/>
                <w:szCs w:val="24"/>
              </w:rPr>
            </w:pPr>
            <w:r w:rsidRPr="00442195">
              <w:rPr>
                <w:rFonts w:asciiTheme="majorBidi" w:hAnsiTheme="majorBidi" w:cstheme="majorBidi"/>
                <w:b/>
                <w:bCs/>
                <w:sz w:val="24"/>
                <w:szCs w:val="24"/>
              </w:rPr>
              <w:lastRenderedPageBreak/>
              <w:t>D</w:t>
            </w:r>
            <w:r w:rsidRPr="00442195">
              <w:rPr>
                <w:rFonts w:asciiTheme="majorBidi" w:hAnsiTheme="majorBidi" w:cstheme="majorBidi"/>
                <w:b/>
                <w:bCs/>
                <w:sz w:val="24"/>
                <w:szCs w:val="24"/>
                <w:vertAlign w:val="subscript"/>
              </w:rPr>
              <w:t>p</w:t>
            </w:r>
            <w:r w:rsidRPr="00442195">
              <w:rPr>
                <w:rFonts w:asciiTheme="majorBidi" w:hAnsiTheme="majorBidi" w:cstheme="majorBidi"/>
                <w:b/>
                <w:bCs/>
                <w:sz w:val="24"/>
                <w:szCs w:val="24"/>
              </w:rPr>
              <w:t xml:space="preserve"> = a . Ec.b</w:t>
            </w:r>
          </w:p>
        </w:tc>
      </w:tr>
    </w:tbl>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Avec :</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D</w:t>
      </w:r>
      <w:r w:rsidRPr="00442195">
        <w:rPr>
          <w:rFonts w:asciiTheme="majorBidi" w:hAnsiTheme="majorBidi" w:cstheme="majorBidi"/>
          <w:sz w:val="24"/>
          <w:szCs w:val="24"/>
          <w:vertAlign w:val="subscript"/>
        </w:rPr>
        <w:t>p :</w:t>
      </w:r>
      <w:r w:rsidRPr="00442195">
        <w:rPr>
          <w:rFonts w:asciiTheme="majorBidi" w:hAnsiTheme="majorBidi" w:cstheme="majorBidi"/>
          <w:sz w:val="24"/>
          <w:szCs w:val="24"/>
        </w:rPr>
        <w:t xml:space="preserve"> la masse détachée</w:t>
      </w:r>
    </w:p>
    <w:p w:rsidR="00C418B9" w:rsidRPr="00442195" w:rsidRDefault="00C418B9" w:rsidP="00C418B9">
      <w:pPr>
        <w:jc w:val="both"/>
        <w:rPr>
          <w:rFonts w:asciiTheme="majorBidi" w:hAnsiTheme="majorBidi" w:cstheme="majorBidi"/>
          <w:sz w:val="24"/>
          <w:szCs w:val="24"/>
        </w:rPr>
      </w:pPr>
      <w:r w:rsidRPr="00442195">
        <w:rPr>
          <w:rFonts w:asciiTheme="majorBidi" w:hAnsiTheme="majorBidi" w:cstheme="majorBidi"/>
          <w:sz w:val="24"/>
          <w:szCs w:val="24"/>
        </w:rPr>
        <w:t>a , b : des coefficients dépendent essentiellement de la texture et de la structure du sol.</w:t>
      </w:r>
    </w:p>
    <w:p w:rsidR="00C418B9" w:rsidRPr="00442195" w:rsidRDefault="00257DFF" w:rsidP="00C418B9">
      <w:pPr>
        <w:autoSpaceDE w:val="0"/>
        <w:autoSpaceDN w:val="0"/>
        <w:adjustRightInd w:val="0"/>
        <w:spacing w:after="0"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I.1.2.2- Le ruissellement :</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442195">
        <w:rPr>
          <w:rFonts w:asciiTheme="majorBidi" w:hAnsiTheme="majorBidi" w:cstheme="majorBidi"/>
          <w:sz w:val="24"/>
          <w:szCs w:val="24"/>
        </w:rPr>
        <w:t xml:space="preserve">Le ruissellement apparaît dès que l’intensité d’une pluie devient supérieure à la vitesse d’infiltration du sol. Il est nettement plus élevé sur sol nu que sous cultures. </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r w:rsidRPr="00442195">
        <w:rPr>
          <w:rFonts w:asciiTheme="majorBidi" w:hAnsiTheme="majorBidi" w:cstheme="majorBidi"/>
          <w:sz w:val="24"/>
          <w:szCs w:val="24"/>
        </w:rPr>
        <w:t>D’une manière générale, il est admis que la vitesse du ruissellement est le paramètre prépondérant de l’action érosive du ruissellement superficiel. En 1965, Meyer a proposé la relation suivante pour évaluer cette vitesse (Meyer, L.D. 1965) :</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 xml:space="preserve">                      </w:t>
      </w:r>
    </w:p>
    <w:tbl>
      <w:tblPr>
        <w:tblStyle w:val="Grilledutableau"/>
        <w:tblW w:w="0" w:type="auto"/>
        <w:jc w:val="center"/>
        <w:tblInd w:w="2235" w:type="dxa"/>
        <w:tblLook w:val="04A0"/>
      </w:tblPr>
      <w:tblGrid>
        <w:gridCol w:w="3685"/>
      </w:tblGrid>
      <w:tr w:rsidR="00C418B9" w:rsidRPr="00442195" w:rsidTr="00C418B9">
        <w:trPr>
          <w:jc w:val="center"/>
        </w:trPr>
        <w:tc>
          <w:tcPr>
            <w:tcW w:w="3685" w:type="dxa"/>
          </w:tcPr>
          <w:p w:rsidR="00C418B9" w:rsidRPr="00442195" w:rsidRDefault="00C418B9" w:rsidP="008C3239">
            <w:pPr>
              <w:autoSpaceDE w:val="0"/>
              <w:autoSpaceDN w:val="0"/>
              <w:adjustRightInd w:val="0"/>
              <w:spacing w:line="360" w:lineRule="auto"/>
              <w:jc w:val="both"/>
              <w:rPr>
                <w:rFonts w:asciiTheme="majorBidi" w:hAnsiTheme="majorBidi" w:cstheme="majorBidi"/>
                <w:b/>
                <w:bCs/>
                <w:sz w:val="24"/>
                <w:szCs w:val="24"/>
              </w:rPr>
            </w:pPr>
            <w:r w:rsidRPr="00442195">
              <w:rPr>
                <w:rFonts w:asciiTheme="majorBidi" w:hAnsiTheme="majorBidi" w:cstheme="majorBidi"/>
                <w:b/>
                <w:bCs/>
                <w:sz w:val="24"/>
                <w:szCs w:val="24"/>
              </w:rPr>
              <w:t>V</w:t>
            </w:r>
            <w:r w:rsidRPr="00442195">
              <w:rPr>
                <w:rFonts w:asciiTheme="majorBidi" w:hAnsiTheme="majorBidi" w:cstheme="majorBidi"/>
                <w:b/>
                <w:bCs/>
                <w:sz w:val="24"/>
                <w:szCs w:val="24"/>
                <w:vertAlign w:val="subscript"/>
              </w:rPr>
              <w:t>R</w:t>
            </w:r>
            <w:r w:rsidRPr="00442195">
              <w:rPr>
                <w:rFonts w:asciiTheme="majorBidi" w:hAnsiTheme="majorBidi" w:cstheme="majorBidi"/>
                <w:b/>
                <w:bCs/>
                <w:sz w:val="24"/>
                <w:szCs w:val="24"/>
              </w:rPr>
              <w:t xml:space="preserve"> = (I</w:t>
            </w:r>
            <w:r w:rsidRPr="00442195">
              <w:rPr>
                <w:rFonts w:asciiTheme="majorBidi" w:hAnsiTheme="majorBidi" w:cstheme="majorBidi"/>
                <w:b/>
                <w:bCs/>
                <w:sz w:val="24"/>
                <w:szCs w:val="24"/>
                <w:vertAlign w:val="superscript"/>
              </w:rPr>
              <w:t>0.33</w:t>
            </w:r>
            <w:r w:rsidRPr="00442195">
              <w:rPr>
                <w:rFonts w:asciiTheme="majorBidi" w:hAnsiTheme="majorBidi" w:cstheme="majorBidi"/>
                <w:b/>
                <w:bCs/>
                <w:sz w:val="24"/>
                <w:szCs w:val="24"/>
              </w:rPr>
              <w:t>.Q</w:t>
            </w:r>
            <w:r w:rsidRPr="00442195">
              <w:rPr>
                <w:rFonts w:asciiTheme="majorBidi" w:hAnsiTheme="majorBidi" w:cstheme="majorBidi"/>
                <w:b/>
                <w:bCs/>
                <w:sz w:val="24"/>
                <w:szCs w:val="24"/>
                <w:vertAlign w:val="subscript"/>
              </w:rPr>
              <w:t>R</w:t>
            </w:r>
            <w:r w:rsidRPr="00442195">
              <w:rPr>
                <w:rFonts w:asciiTheme="majorBidi" w:hAnsiTheme="majorBidi" w:cstheme="majorBidi"/>
                <w:b/>
                <w:bCs/>
                <w:sz w:val="24"/>
                <w:szCs w:val="24"/>
                <w:vertAlign w:val="superscript"/>
              </w:rPr>
              <w:t>0.33</w:t>
            </w:r>
            <w:r w:rsidRPr="00442195">
              <w:rPr>
                <w:rFonts w:asciiTheme="majorBidi" w:hAnsiTheme="majorBidi" w:cstheme="majorBidi"/>
                <w:b/>
                <w:bCs/>
                <w:sz w:val="24"/>
                <w:szCs w:val="24"/>
              </w:rPr>
              <w:t>) / n</w:t>
            </w:r>
            <w:r w:rsidRPr="00442195">
              <w:rPr>
                <w:rFonts w:asciiTheme="majorBidi" w:hAnsiTheme="majorBidi" w:cstheme="majorBidi"/>
                <w:b/>
                <w:bCs/>
                <w:sz w:val="24"/>
                <w:szCs w:val="24"/>
                <w:vertAlign w:val="superscript"/>
              </w:rPr>
              <w:t>0.66</w:t>
            </w:r>
          </w:p>
        </w:tc>
      </w:tr>
    </w:tbl>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Où</w:t>
      </w:r>
      <w:r w:rsidRPr="00442195">
        <w:rPr>
          <w:rFonts w:asciiTheme="majorBidi" w:hAnsiTheme="majorBidi" w:cstheme="majorBidi"/>
          <w:sz w:val="24"/>
          <w:szCs w:val="24"/>
        </w:rPr>
        <w:tab/>
      </w:r>
    </w:p>
    <w:p w:rsidR="00C418B9" w:rsidRPr="00442195" w:rsidRDefault="00C418B9" w:rsidP="00C418B9">
      <w:pPr>
        <w:autoSpaceDE w:val="0"/>
        <w:autoSpaceDN w:val="0"/>
        <w:adjustRightInd w:val="0"/>
        <w:spacing w:after="0" w:line="360" w:lineRule="auto"/>
        <w:ind w:left="708"/>
        <w:jc w:val="both"/>
        <w:rPr>
          <w:rFonts w:asciiTheme="majorBidi" w:hAnsiTheme="majorBidi" w:cstheme="majorBidi"/>
          <w:sz w:val="24"/>
          <w:szCs w:val="24"/>
        </w:rPr>
      </w:pPr>
      <w:r w:rsidRPr="00442195">
        <w:rPr>
          <w:rFonts w:asciiTheme="majorBidi" w:hAnsiTheme="majorBidi" w:cstheme="majorBidi"/>
          <w:sz w:val="24"/>
          <w:szCs w:val="24"/>
        </w:rPr>
        <w:t>V</w:t>
      </w:r>
      <w:r w:rsidRPr="00442195">
        <w:rPr>
          <w:rFonts w:asciiTheme="majorBidi" w:hAnsiTheme="majorBidi" w:cstheme="majorBidi"/>
          <w:sz w:val="24"/>
          <w:szCs w:val="24"/>
          <w:vertAlign w:val="subscript"/>
        </w:rPr>
        <w:t>R</w:t>
      </w:r>
      <w:r w:rsidRPr="00442195">
        <w:rPr>
          <w:rFonts w:asciiTheme="majorBidi" w:hAnsiTheme="majorBidi" w:cstheme="majorBidi"/>
          <w:sz w:val="24"/>
          <w:szCs w:val="24"/>
        </w:rPr>
        <w:t xml:space="preserve"> : vitesse de ruissellement</w:t>
      </w:r>
    </w:p>
    <w:p w:rsidR="00C418B9" w:rsidRPr="00442195" w:rsidRDefault="00C418B9" w:rsidP="00C418B9">
      <w:pPr>
        <w:autoSpaceDE w:val="0"/>
        <w:autoSpaceDN w:val="0"/>
        <w:adjustRightInd w:val="0"/>
        <w:spacing w:after="0" w:line="360" w:lineRule="auto"/>
        <w:ind w:left="708"/>
        <w:jc w:val="both"/>
        <w:rPr>
          <w:rFonts w:asciiTheme="majorBidi" w:hAnsiTheme="majorBidi" w:cstheme="majorBidi"/>
          <w:sz w:val="24"/>
          <w:szCs w:val="24"/>
        </w:rPr>
      </w:pPr>
      <w:r w:rsidRPr="00442195">
        <w:rPr>
          <w:rFonts w:asciiTheme="majorBidi" w:hAnsiTheme="majorBidi" w:cstheme="majorBidi"/>
          <w:sz w:val="24"/>
          <w:szCs w:val="24"/>
        </w:rPr>
        <w:t>I : pente du terrain</w:t>
      </w:r>
    </w:p>
    <w:p w:rsidR="00C418B9" w:rsidRPr="00442195" w:rsidRDefault="00C418B9" w:rsidP="00C418B9">
      <w:pPr>
        <w:autoSpaceDE w:val="0"/>
        <w:autoSpaceDN w:val="0"/>
        <w:adjustRightInd w:val="0"/>
        <w:spacing w:after="0" w:line="360" w:lineRule="auto"/>
        <w:ind w:left="708"/>
        <w:jc w:val="both"/>
        <w:rPr>
          <w:rFonts w:asciiTheme="majorBidi" w:hAnsiTheme="majorBidi" w:cstheme="majorBidi"/>
          <w:sz w:val="24"/>
          <w:szCs w:val="24"/>
        </w:rPr>
      </w:pPr>
      <w:r w:rsidRPr="00442195">
        <w:rPr>
          <w:rFonts w:asciiTheme="majorBidi" w:hAnsiTheme="majorBidi" w:cstheme="majorBidi"/>
          <w:sz w:val="24"/>
          <w:szCs w:val="24"/>
        </w:rPr>
        <w:t>Q</w:t>
      </w:r>
      <w:r w:rsidRPr="00442195">
        <w:rPr>
          <w:rFonts w:asciiTheme="majorBidi" w:hAnsiTheme="majorBidi" w:cstheme="majorBidi"/>
          <w:sz w:val="24"/>
          <w:szCs w:val="24"/>
          <w:vertAlign w:val="subscript"/>
        </w:rPr>
        <w:t>R</w:t>
      </w:r>
      <w:r w:rsidRPr="00442195">
        <w:rPr>
          <w:rFonts w:asciiTheme="majorBidi" w:hAnsiTheme="majorBidi" w:cstheme="majorBidi"/>
          <w:sz w:val="24"/>
          <w:szCs w:val="24"/>
        </w:rPr>
        <w:t xml:space="preserve"> : Débit du ruissellement</w:t>
      </w:r>
    </w:p>
    <w:p w:rsidR="00C418B9" w:rsidRPr="00442195" w:rsidRDefault="00C418B9" w:rsidP="00C418B9">
      <w:pPr>
        <w:autoSpaceDE w:val="0"/>
        <w:autoSpaceDN w:val="0"/>
        <w:adjustRightInd w:val="0"/>
        <w:spacing w:after="0" w:line="360" w:lineRule="auto"/>
        <w:ind w:left="708"/>
        <w:jc w:val="both"/>
        <w:rPr>
          <w:rFonts w:asciiTheme="majorBidi" w:hAnsiTheme="majorBidi" w:cstheme="majorBidi"/>
          <w:sz w:val="24"/>
          <w:szCs w:val="24"/>
        </w:rPr>
      </w:pPr>
      <w:r w:rsidRPr="00442195">
        <w:rPr>
          <w:rFonts w:asciiTheme="majorBidi" w:hAnsiTheme="majorBidi" w:cstheme="majorBidi"/>
          <w:sz w:val="24"/>
          <w:szCs w:val="24"/>
        </w:rPr>
        <w:t>n : rugosité du sol.</w:t>
      </w:r>
    </w:p>
    <w:p w:rsidR="00C418B9" w:rsidRPr="00442195" w:rsidRDefault="003814A2" w:rsidP="00C418B9">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Les facteurs qui régissent</w:t>
      </w:r>
      <w:r w:rsidR="00C418B9" w:rsidRPr="00442195">
        <w:rPr>
          <w:rFonts w:asciiTheme="majorBidi" w:hAnsiTheme="majorBidi" w:cstheme="majorBidi"/>
          <w:sz w:val="24"/>
          <w:szCs w:val="24"/>
        </w:rPr>
        <w:t xml:space="preserve"> le ruissellement sont principalement :</w:t>
      </w:r>
    </w:p>
    <w:p w:rsidR="00C418B9" w:rsidRPr="00442195" w:rsidRDefault="00C418B9" w:rsidP="00C418B9">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L’infiltration</w:t>
      </w:r>
    </w:p>
    <w:p w:rsidR="00C418B9" w:rsidRPr="00442195" w:rsidRDefault="00C418B9" w:rsidP="00C418B9">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Détention superficielle et rugosité du sol </w:t>
      </w:r>
    </w:p>
    <w:p w:rsidR="00C418B9" w:rsidRPr="00442195" w:rsidRDefault="00C418B9" w:rsidP="00C418B9">
      <w:pPr>
        <w:pStyle w:val="Paragraphedeliste"/>
        <w:numPr>
          <w:ilvl w:val="0"/>
          <w:numId w:val="1"/>
        </w:numPr>
        <w:tabs>
          <w:tab w:val="left" w:pos="6885"/>
        </w:tabs>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Pente et longueur de pente </w:t>
      </w:r>
      <w:r w:rsidRPr="00442195">
        <w:rPr>
          <w:rFonts w:asciiTheme="majorBidi" w:hAnsiTheme="majorBidi" w:cstheme="majorBidi"/>
          <w:sz w:val="24"/>
          <w:szCs w:val="24"/>
        </w:rPr>
        <w:tab/>
      </w:r>
    </w:p>
    <w:p w:rsidR="00C418B9" w:rsidRPr="00442195" w:rsidRDefault="00C418B9" w:rsidP="00C418B9">
      <w:pPr>
        <w:pStyle w:val="Paragraphedeliste"/>
        <w:numPr>
          <w:ilvl w:val="0"/>
          <w:numId w:val="1"/>
        </w:numPr>
        <w:jc w:val="both"/>
        <w:rPr>
          <w:rFonts w:asciiTheme="majorBidi" w:hAnsiTheme="majorBidi" w:cstheme="majorBidi"/>
          <w:sz w:val="24"/>
          <w:szCs w:val="24"/>
        </w:rPr>
      </w:pPr>
      <w:r w:rsidRPr="00442195">
        <w:rPr>
          <w:rFonts w:asciiTheme="majorBidi" w:hAnsiTheme="majorBidi" w:cstheme="majorBidi"/>
          <w:sz w:val="24"/>
          <w:szCs w:val="24"/>
        </w:rPr>
        <w:t>Le couvert végétal </w:t>
      </w:r>
    </w:p>
    <w:p w:rsidR="00C418B9" w:rsidRPr="00442195" w:rsidRDefault="00C418B9" w:rsidP="00C418B9">
      <w:pPr>
        <w:pStyle w:val="Paragraphedeliste"/>
        <w:ind w:left="585"/>
        <w:jc w:val="both"/>
        <w:rPr>
          <w:rFonts w:asciiTheme="majorBidi" w:hAnsiTheme="majorBidi" w:cstheme="majorBidi"/>
          <w:sz w:val="24"/>
          <w:szCs w:val="24"/>
        </w:rPr>
      </w:pPr>
    </w:p>
    <w:p w:rsidR="00C418B9" w:rsidRPr="00442195" w:rsidRDefault="00257DFF" w:rsidP="00C418B9">
      <w:pPr>
        <w:pStyle w:val="Paragraphedeliste"/>
        <w:spacing w:line="480" w:lineRule="auto"/>
        <w:ind w:left="0"/>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I.1.3- Formes de manifestation de l’érosion hydrique : </w:t>
      </w:r>
    </w:p>
    <w:p w:rsidR="00C418B9" w:rsidRPr="00442195" w:rsidRDefault="00257DFF" w:rsidP="00C418B9">
      <w:pPr>
        <w:pStyle w:val="Paragraphedeliste"/>
        <w:spacing w:line="480" w:lineRule="auto"/>
        <w:ind w:left="0"/>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I.1 .3.1- Erosion en nappe :</w:t>
      </w:r>
    </w:p>
    <w:p w:rsidR="00C418B9" w:rsidRPr="00442195" w:rsidRDefault="00C418B9" w:rsidP="00C418B9">
      <w:pPr>
        <w:tabs>
          <w:tab w:val="left" w:pos="7717"/>
        </w:tabs>
        <w:autoSpaceDE w:val="0"/>
        <w:autoSpaceDN w:val="0"/>
        <w:adjustRightInd w:val="0"/>
        <w:spacing w:after="0" w:line="360" w:lineRule="auto"/>
        <w:jc w:val="both"/>
        <w:rPr>
          <w:rFonts w:asciiTheme="majorBidi" w:hAnsiTheme="majorBidi" w:cstheme="majorBidi"/>
          <w:color w:val="060A12"/>
          <w:sz w:val="24"/>
          <w:szCs w:val="24"/>
        </w:rPr>
      </w:pPr>
      <w:r w:rsidRPr="00442195">
        <w:rPr>
          <w:rFonts w:asciiTheme="majorBidi" w:hAnsiTheme="majorBidi" w:cstheme="majorBidi"/>
          <w:color w:val="060A12"/>
          <w:sz w:val="24"/>
          <w:szCs w:val="24"/>
        </w:rPr>
        <w:t xml:space="preserve">          Elle est caractérisée par une eau de ruissellement sans griffes ou rigoles visibles. Sous l'effet de l'impact des gouttes de pluies (effet splash), les particules sont arrachées et restent maintenues en suspension par la turbulence. </w:t>
      </w:r>
    </w:p>
    <w:p w:rsidR="00C418B9" w:rsidRPr="00442195" w:rsidRDefault="00C418B9" w:rsidP="00C418B9">
      <w:pPr>
        <w:spacing w:line="360" w:lineRule="auto"/>
        <w:jc w:val="both"/>
        <w:rPr>
          <w:rFonts w:asciiTheme="majorBidi" w:hAnsiTheme="majorBidi" w:cstheme="majorBidi"/>
          <w:color w:val="060A12"/>
          <w:sz w:val="24"/>
          <w:szCs w:val="24"/>
        </w:rPr>
      </w:pPr>
      <w:r w:rsidRPr="00442195">
        <w:rPr>
          <w:rFonts w:asciiTheme="majorBidi" w:hAnsiTheme="majorBidi" w:cstheme="majorBidi"/>
          <w:color w:val="060A12"/>
          <w:sz w:val="24"/>
          <w:szCs w:val="24"/>
        </w:rPr>
        <w:t>L’érosion en nappe dépend de :</w:t>
      </w:r>
    </w:p>
    <w:p w:rsidR="00C418B9" w:rsidRPr="00442195" w:rsidRDefault="00C418B9" w:rsidP="00C418B9">
      <w:pPr>
        <w:numPr>
          <w:ilvl w:val="0"/>
          <w:numId w:val="2"/>
        </w:numPr>
        <w:spacing w:line="360" w:lineRule="auto"/>
        <w:ind w:firstLine="414"/>
        <w:jc w:val="both"/>
        <w:rPr>
          <w:rFonts w:asciiTheme="majorBidi" w:hAnsiTheme="majorBidi" w:cstheme="majorBidi"/>
          <w:color w:val="060A12"/>
          <w:sz w:val="24"/>
          <w:szCs w:val="24"/>
        </w:rPr>
      </w:pPr>
      <w:r w:rsidRPr="00442195">
        <w:rPr>
          <w:rFonts w:asciiTheme="majorBidi" w:hAnsiTheme="majorBidi" w:cstheme="majorBidi"/>
          <w:color w:val="060A12"/>
          <w:sz w:val="24"/>
          <w:szCs w:val="24"/>
        </w:rPr>
        <w:t>L'intensité maximale des pluies qui déclenchent le ruissellement.</w:t>
      </w:r>
    </w:p>
    <w:p w:rsidR="00C418B9" w:rsidRPr="00442195" w:rsidRDefault="00C418B9" w:rsidP="00C418B9">
      <w:pPr>
        <w:numPr>
          <w:ilvl w:val="0"/>
          <w:numId w:val="2"/>
        </w:numPr>
        <w:spacing w:line="360" w:lineRule="auto"/>
        <w:ind w:firstLine="414"/>
        <w:jc w:val="both"/>
        <w:rPr>
          <w:rFonts w:asciiTheme="majorBidi" w:hAnsiTheme="majorBidi" w:cstheme="majorBidi"/>
          <w:color w:val="060A12"/>
          <w:sz w:val="24"/>
          <w:szCs w:val="24"/>
        </w:rPr>
      </w:pPr>
      <w:r w:rsidRPr="00442195">
        <w:rPr>
          <w:rFonts w:asciiTheme="majorBidi" w:hAnsiTheme="majorBidi" w:cstheme="majorBidi"/>
          <w:color w:val="060A12"/>
          <w:sz w:val="24"/>
          <w:szCs w:val="24"/>
        </w:rPr>
        <w:lastRenderedPageBreak/>
        <w:t>L'énergie cinétique des pluies qui détachent les particules.</w:t>
      </w:r>
    </w:p>
    <w:p w:rsidR="00C418B9" w:rsidRPr="00442195" w:rsidRDefault="00C418B9" w:rsidP="00C418B9">
      <w:pPr>
        <w:pStyle w:val="Paragraphedeliste"/>
        <w:ind w:left="0"/>
        <w:jc w:val="both"/>
        <w:rPr>
          <w:rFonts w:asciiTheme="majorBidi" w:hAnsiTheme="majorBidi" w:cstheme="majorBidi"/>
          <w:color w:val="060A12"/>
          <w:sz w:val="24"/>
          <w:szCs w:val="24"/>
        </w:rPr>
      </w:pPr>
      <w:r w:rsidRPr="00442195">
        <w:rPr>
          <w:rFonts w:asciiTheme="majorBidi" w:hAnsiTheme="majorBidi" w:cstheme="majorBidi"/>
          <w:color w:val="060A12"/>
          <w:sz w:val="24"/>
          <w:szCs w:val="24"/>
        </w:rPr>
        <w:t>La durée des pluies et/ou l'humidité avant les pluies</w:t>
      </w:r>
    </w:p>
    <w:p w:rsidR="00C418B9" w:rsidRPr="00442195" w:rsidRDefault="00257DFF" w:rsidP="00C418B9">
      <w:pPr>
        <w:spacing w:before="100" w:beforeAutospacing="1" w:after="100" w:afterAutospacing="1"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Pr>
          <w:rFonts w:asciiTheme="majorBidi" w:hAnsiTheme="majorBidi" w:cstheme="majorBidi"/>
          <w:b/>
          <w:bCs/>
          <w:sz w:val="24"/>
          <w:szCs w:val="24"/>
        </w:rPr>
        <w:t>.</w:t>
      </w:r>
      <w:r w:rsidR="00C418B9" w:rsidRPr="00442195">
        <w:rPr>
          <w:rFonts w:asciiTheme="majorBidi" w:hAnsiTheme="majorBidi" w:cstheme="majorBidi"/>
          <w:b/>
          <w:bCs/>
          <w:sz w:val="24"/>
          <w:szCs w:val="24"/>
        </w:rPr>
        <w:t>I.1.3.2- Erosion linéaire</w:t>
      </w:r>
    </w:p>
    <w:p w:rsidR="00C418B9" w:rsidRPr="00442195" w:rsidRDefault="00C418B9" w:rsidP="00C418B9">
      <w:pPr>
        <w:spacing w:before="100" w:beforeAutospacing="1" w:after="100" w:afterAutospacing="1" w:line="360" w:lineRule="auto"/>
        <w:jc w:val="both"/>
        <w:rPr>
          <w:rFonts w:asciiTheme="majorBidi" w:hAnsiTheme="majorBidi" w:cstheme="majorBidi"/>
          <w:b/>
          <w:bCs/>
          <w:sz w:val="24"/>
          <w:szCs w:val="24"/>
        </w:rPr>
      </w:pPr>
      <w:r w:rsidRPr="00442195">
        <w:rPr>
          <w:rFonts w:asciiTheme="majorBidi" w:hAnsiTheme="majorBidi" w:cstheme="majorBidi"/>
          <w:b/>
          <w:bCs/>
          <w:sz w:val="24"/>
          <w:szCs w:val="24"/>
        </w:rPr>
        <w:t xml:space="preserve">              </w:t>
      </w:r>
      <w:r w:rsidRPr="00442195">
        <w:rPr>
          <w:rFonts w:asciiTheme="majorBidi" w:hAnsiTheme="majorBidi" w:cstheme="majorBidi"/>
          <w:sz w:val="24"/>
          <w:szCs w:val="24"/>
        </w:rPr>
        <w:t xml:space="preserve"> Elle se manifeste lorsque la concentration des eaux conduit à la formation de chenaux de dimension croissante : griffes (quelques centimètres de profondeur), rigoles (incision dans la couche labourée), ravines (incision dépassant la couche labourée</w:t>
      </w:r>
      <w:r w:rsidRPr="00442195">
        <w:rPr>
          <w:rFonts w:asciiTheme="majorBidi" w:hAnsiTheme="majorBidi" w:cstheme="majorBidi"/>
          <w:b/>
          <w:bCs/>
          <w:sz w:val="24"/>
          <w:szCs w:val="24"/>
        </w:rPr>
        <w:t>).</w:t>
      </w:r>
    </w:p>
    <w:p w:rsidR="00C418B9" w:rsidRPr="00442195" w:rsidRDefault="00C418B9" w:rsidP="00C418B9">
      <w:pPr>
        <w:autoSpaceDE w:val="0"/>
        <w:autoSpaceDN w:val="0"/>
        <w:adjustRightInd w:val="0"/>
        <w:spacing w:after="0" w:line="360" w:lineRule="auto"/>
        <w:jc w:val="both"/>
        <w:rPr>
          <w:rFonts w:asciiTheme="majorBidi" w:hAnsiTheme="majorBidi" w:cstheme="majorBidi"/>
          <w:b/>
          <w:bCs/>
          <w:sz w:val="24"/>
          <w:szCs w:val="24"/>
        </w:rPr>
      </w:pPr>
      <w:r w:rsidRPr="00442195">
        <w:rPr>
          <w:rFonts w:asciiTheme="majorBidi" w:hAnsiTheme="majorBidi" w:cstheme="majorBidi"/>
          <w:b/>
          <w:bCs/>
          <w:sz w:val="24"/>
          <w:szCs w:val="24"/>
        </w:rPr>
        <w:t xml:space="preserve">a)- Erosion en griffes et rigoles : </w:t>
      </w:r>
      <w:r w:rsidRPr="00442195">
        <w:rPr>
          <w:rFonts w:asciiTheme="majorBidi" w:hAnsiTheme="majorBidi" w:cstheme="majorBidi"/>
          <w:sz w:val="24"/>
          <w:szCs w:val="24"/>
        </w:rPr>
        <w:t xml:space="preserve">Elle se produit lorsque l’écoulement d’eau se concentre et choisit son passage. Dès qu’une griffe s’établit, l’eau de ruissellement tend à se réunir, et plus elle se creuse plus il y a appel d’eau dans la rigole. </w:t>
      </w:r>
    </w:p>
    <w:p w:rsidR="00C418B9" w:rsidRPr="00442195" w:rsidRDefault="00C418B9" w:rsidP="00C418B9">
      <w:pPr>
        <w:autoSpaceDE w:val="0"/>
        <w:autoSpaceDN w:val="0"/>
        <w:adjustRightInd w:val="0"/>
        <w:spacing w:after="0" w:line="360" w:lineRule="auto"/>
        <w:jc w:val="both"/>
        <w:rPr>
          <w:rFonts w:asciiTheme="majorBidi" w:hAnsiTheme="majorBidi" w:cstheme="majorBidi"/>
          <w:b/>
          <w:bCs/>
          <w:sz w:val="24"/>
          <w:szCs w:val="24"/>
        </w:rPr>
      </w:pPr>
      <w:r w:rsidRPr="00442195">
        <w:rPr>
          <w:rFonts w:asciiTheme="majorBidi" w:hAnsiTheme="majorBidi" w:cstheme="majorBidi"/>
          <w:b/>
          <w:bCs/>
          <w:sz w:val="24"/>
          <w:szCs w:val="24"/>
        </w:rPr>
        <w:t>b)- Erosion par ravinement :</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r w:rsidRPr="00442195">
        <w:rPr>
          <w:rFonts w:asciiTheme="majorBidi" w:hAnsiTheme="majorBidi" w:cstheme="majorBidi"/>
          <w:sz w:val="24"/>
          <w:szCs w:val="24"/>
        </w:rPr>
        <w:t>Les ravines suivent la ligne de plus grande pente des versants. Puisque le ruissellement provenant des versant peut atteindre 50 à 80% durant les averses exceptionnelles tombant sur les terres battues ou compactées, l’essentiel du transport solide provient des ravines et des oueds (Heush, B. 1970 ; Arabi, M. et al. 1991).</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p>
    <w:p w:rsidR="00C418B9" w:rsidRPr="003814A2" w:rsidRDefault="00257DFF" w:rsidP="00C418B9">
      <w:pPr>
        <w:autoSpaceDE w:val="0"/>
        <w:autoSpaceDN w:val="0"/>
        <w:adjustRightInd w:val="0"/>
        <w:spacing w:after="0" w:line="360" w:lineRule="auto"/>
        <w:jc w:val="both"/>
        <w:rPr>
          <w:rFonts w:asciiTheme="majorBidi" w:hAnsiTheme="majorBidi" w:cstheme="majorBidi"/>
          <w:b/>
          <w:bCs/>
          <w:color w:val="FF0000"/>
          <w:sz w:val="24"/>
          <w:szCs w:val="24"/>
        </w:rPr>
      </w:pPr>
      <w:r w:rsidRPr="003814A2">
        <w:rPr>
          <w:rFonts w:asciiTheme="majorBidi" w:hAnsiTheme="majorBidi" w:cstheme="majorBidi"/>
          <w:b/>
          <w:bCs/>
          <w:color w:val="FF0000"/>
          <w:sz w:val="24"/>
          <w:szCs w:val="24"/>
        </w:rPr>
        <w:t>I .</w:t>
      </w:r>
      <w:r w:rsidR="00C418B9" w:rsidRPr="003814A2">
        <w:rPr>
          <w:rFonts w:asciiTheme="majorBidi" w:hAnsiTheme="majorBidi" w:cstheme="majorBidi"/>
          <w:b/>
          <w:bCs/>
          <w:color w:val="FF0000"/>
          <w:sz w:val="24"/>
          <w:szCs w:val="24"/>
        </w:rPr>
        <w:t xml:space="preserve">I.2- LE TRANSPORT SOLIDE :  </w:t>
      </w:r>
    </w:p>
    <w:p w:rsidR="00C418B9" w:rsidRPr="003814A2" w:rsidRDefault="00C418B9" w:rsidP="00C418B9">
      <w:pPr>
        <w:autoSpaceDE w:val="0"/>
        <w:autoSpaceDN w:val="0"/>
        <w:adjustRightInd w:val="0"/>
        <w:spacing w:after="0" w:line="360" w:lineRule="auto"/>
        <w:ind w:firstLine="708"/>
        <w:jc w:val="both"/>
        <w:rPr>
          <w:rFonts w:asciiTheme="majorBidi" w:hAnsiTheme="majorBidi" w:cstheme="majorBidi"/>
          <w:color w:val="FF0000"/>
          <w:sz w:val="24"/>
          <w:szCs w:val="24"/>
        </w:rPr>
      </w:pPr>
      <w:r w:rsidRPr="003814A2">
        <w:rPr>
          <w:rFonts w:asciiTheme="majorBidi" w:hAnsiTheme="majorBidi" w:cstheme="majorBidi"/>
          <w:color w:val="FF0000"/>
          <w:sz w:val="24"/>
          <w:szCs w:val="24"/>
        </w:rPr>
        <w:t xml:space="preserve">Le transport solide représente l’entraînement de granulats sous l’action d’un écoulement fluide. Il existe dans différents phénomènes physiques, naturels ou industriels, et constitue un écoulement </w:t>
      </w:r>
      <w:r w:rsidR="00DC4581">
        <w:rPr>
          <w:rFonts w:asciiTheme="majorBidi" w:hAnsiTheme="majorBidi" w:cstheme="majorBidi"/>
          <w:color w:val="FF0000"/>
          <w:sz w:val="24"/>
          <w:szCs w:val="24"/>
        </w:rPr>
        <w:t xml:space="preserve"> </w:t>
      </w:r>
      <w:r w:rsidRPr="003814A2">
        <w:rPr>
          <w:rFonts w:asciiTheme="majorBidi" w:hAnsiTheme="majorBidi" w:cstheme="majorBidi"/>
          <w:color w:val="FF0000"/>
          <w:sz w:val="24"/>
          <w:szCs w:val="24"/>
        </w:rPr>
        <w:t>à surface libre ou en charge.</w:t>
      </w:r>
    </w:p>
    <w:p w:rsidR="00C418B9" w:rsidRPr="00442195" w:rsidRDefault="00C418B9" w:rsidP="00C418B9">
      <w:pPr>
        <w:autoSpaceDE w:val="0"/>
        <w:autoSpaceDN w:val="0"/>
        <w:adjustRightInd w:val="0"/>
        <w:spacing w:after="0" w:line="360" w:lineRule="auto"/>
        <w:jc w:val="both"/>
        <w:rPr>
          <w:rFonts w:asciiTheme="majorBidi" w:hAnsiTheme="majorBidi" w:cstheme="majorBidi"/>
          <w:b/>
          <w:bCs/>
          <w:sz w:val="24"/>
          <w:szCs w:val="24"/>
        </w:rPr>
      </w:pPr>
    </w:p>
    <w:p w:rsidR="00C418B9" w:rsidRPr="00442195" w:rsidRDefault="00C418B9" w:rsidP="00C418B9">
      <w:pPr>
        <w:autoSpaceDE w:val="0"/>
        <w:autoSpaceDN w:val="0"/>
        <w:adjustRightInd w:val="0"/>
        <w:spacing w:after="0" w:line="360" w:lineRule="auto"/>
        <w:jc w:val="both"/>
        <w:rPr>
          <w:rFonts w:asciiTheme="majorBidi" w:hAnsiTheme="majorBidi" w:cstheme="majorBidi"/>
          <w:b/>
          <w:bCs/>
          <w:sz w:val="24"/>
          <w:szCs w:val="24"/>
        </w:rPr>
      </w:pPr>
    </w:p>
    <w:p w:rsidR="00C418B9" w:rsidRPr="00442195" w:rsidRDefault="00257DFF" w:rsidP="00C418B9">
      <w:pPr>
        <w:autoSpaceDE w:val="0"/>
        <w:autoSpaceDN w:val="0"/>
        <w:adjustRightInd w:val="0"/>
        <w:spacing w:after="0"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 xml:space="preserve">I.2.1- Les différentes modes de transports solides : </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b/>
          <w:bCs/>
          <w:sz w:val="24"/>
          <w:szCs w:val="24"/>
        </w:rPr>
        <w:t> </w:t>
      </w:r>
      <w:r w:rsidRPr="00442195">
        <w:rPr>
          <w:rFonts w:asciiTheme="majorBidi" w:hAnsiTheme="majorBidi" w:cstheme="majorBidi"/>
          <w:sz w:val="24"/>
          <w:szCs w:val="24"/>
        </w:rPr>
        <w:t>Le mode de transport dépend essentiellement d’un paramètre fondamental : la taille du sédiment transporté.</w:t>
      </w:r>
    </w:p>
    <w:p w:rsidR="00C418B9" w:rsidRPr="00442195" w:rsidRDefault="00257DFF" w:rsidP="00C418B9">
      <w:pPr>
        <w:autoSpaceDE w:val="0"/>
        <w:autoSpaceDN w:val="0"/>
        <w:adjustRightInd w:val="0"/>
        <w:spacing w:after="0" w:line="360" w:lineRule="auto"/>
        <w:jc w:val="both"/>
        <w:rPr>
          <w:rFonts w:asciiTheme="majorBidi" w:hAnsiTheme="majorBidi" w:cstheme="majorBidi"/>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I.2.1.1- Le transport solide par charriage :</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 xml:space="preserve">          Le transport solide par charriage, représente la progression de sédiments grossiers (sables, gravier, galets et blocs), de diamètre supérieur à 1 mm, qui se déplacent par roulement ou glissement, au voisinage immédiat du fond du cours d’eau, et parcourent des distances relativement petites et discontinues dans le temps et dans l’espace.</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r w:rsidRPr="00442195">
        <w:rPr>
          <w:rFonts w:asciiTheme="majorBidi" w:hAnsiTheme="majorBidi" w:cstheme="majorBidi"/>
          <w:sz w:val="24"/>
          <w:szCs w:val="24"/>
        </w:rPr>
        <w:lastRenderedPageBreak/>
        <w:t>Pour quelques bassins versants le taux de charriage a été estimé à 12.5 % de la suspension (Djebbi, M. 1990)</w:t>
      </w:r>
    </w:p>
    <w:p w:rsidR="00C418B9" w:rsidRPr="00442195" w:rsidRDefault="00257DFF" w:rsidP="00C418B9">
      <w:pPr>
        <w:autoSpaceDE w:val="0"/>
        <w:autoSpaceDN w:val="0"/>
        <w:adjustRightInd w:val="0"/>
        <w:spacing w:after="0" w:line="360" w:lineRule="auto"/>
        <w:jc w:val="both"/>
        <w:rPr>
          <w:rFonts w:asciiTheme="majorBidi" w:hAnsiTheme="majorBidi" w:cstheme="majorBidi"/>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I.2.1.2- Le transport solide en suspension :</w:t>
      </w:r>
    </w:p>
    <w:p w:rsidR="00C418B9" w:rsidRPr="00442195" w:rsidRDefault="00C418B9" w:rsidP="00C418B9">
      <w:pPr>
        <w:autoSpaceDE w:val="0"/>
        <w:autoSpaceDN w:val="0"/>
        <w:adjustRightInd w:val="0"/>
        <w:spacing w:after="0" w:line="360" w:lineRule="auto"/>
        <w:ind w:firstLine="708"/>
        <w:jc w:val="both"/>
        <w:rPr>
          <w:rFonts w:asciiTheme="majorBidi" w:hAnsiTheme="majorBidi" w:cstheme="majorBidi"/>
          <w:sz w:val="24"/>
          <w:szCs w:val="24"/>
        </w:rPr>
      </w:pPr>
      <w:r w:rsidRPr="00442195">
        <w:rPr>
          <w:rFonts w:asciiTheme="majorBidi" w:hAnsiTheme="majorBidi" w:cstheme="majorBidi"/>
          <w:sz w:val="24"/>
          <w:szCs w:val="24"/>
        </w:rPr>
        <w:t xml:space="preserve">    Le transport solide en suspension représente le transport de sédiments fins (argiles, limons, sables fins), de taille micronique, maintenues en suspension sur toute la hauteur de la masse liquide du cours d’eau, sous l’action des fluctuations turbulentes de l’écoulement. Les sédiments se déplacent sur des grandes distances et le débit solide croît de l’amont vers l’aval.</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 xml:space="preserve">Quelques valeurs indicatives, permettent de délimiter les deux modes de transport. </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Ces valeurs utilisent le rapport entre vitesse de l’écoulement V sur le lit du cours d’eau, et la vitesse W de chute des particules,.(Graf, 1971)</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 V/ W &gt; 0.10   début de transport par charriage.</w:t>
      </w:r>
    </w:p>
    <w:p w:rsidR="00C418B9" w:rsidRPr="00442195" w:rsidRDefault="00C418B9" w:rsidP="00C418B9">
      <w:pPr>
        <w:autoSpaceDE w:val="0"/>
        <w:autoSpaceDN w:val="0"/>
        <w:adjustRightInd w:val="0"/>
        <w:spacing w:after="0" w:line="360" w:lineRule="auto"/>
        <w:jc w:val="both"/>
        <w:rPr>
          <w:rFonts w:asciiTheme="majorBidi" w:hAnsiTheme="majorBidi" w:cstheme="majorBidi"/>
          <w:sz w:val="24"/>
          <w:szCs w:val="24"/>
        </w:rPr>
      </w:pPr>
      <w:r w:rsidRPr="00442195">
        <w:rPr>
          <w:rFonts w:asciiTheme="majorBidi" w:hAnsiTheme="majorBidi" w:cstheme="majorBidi"/>
          <w:sz w:val="24"/>
          <w:szCs w:val="24"/>
        </w:rPr>
        <w:t>- V/W &gt; 0.40   début de transport en suspension</w:t>
      </w:r>
    </w:p>
    <w:p w:rsidR="00C418B9" w:rsidRPr="00442195" w:rsidRDefault="00257DFF" w:rsidP="00C418B9">
      <w:pPr>
        <w:pStyle w:val="Default"/>
        <w:spacing w:line="360" w:lineRule="auto"/>
        <w:jc w:val="both"/>
        <w:rPr>
          <w:rFonts w:asciiTheme="majorBidi" w:hAnsiTheme="majorBidi" w:cstheme="majorBidi"/>
          <w:b/>
          <w:bCs/>
        </w:rPr>
      </w:pPr>
      <w:r w:rsidRPr="00C418B9">
        <w:rPr>
          <w:rFonts w:asciiTheme="majorBidi" w:hAnsiTheme="majorBidi" w:cstheme="majorBidi"/>
          <w:b/>
          <w:bCs/>
        </w:rPr>
        <w:t>I</w:t>
      </w:r>
      <w:r w:rsidRPr="00442195">
        <w:rPr>
          <w:rFonts w:asciiTheme="majorBidi" w:hAnsiTheme="majorBidi" w:cstheme="majorBidi"/>
          <w:b/>
          <w:bCs/>
        </w:rPr>
        <w:t xml:space="preserve"> </w:t>
      </w:r>
      <w:r>
        <w:rPr>
          <w:rFonts w:asciiTheme="majorBidi" w:hAnsiTheme="majorBidi" w:cstheme="majorBidi"/>
          <w:b/>
          <w:bCs/>
        </w:rPr>
        <w:t>.</w:t>
      </w:r>
      <w:r w:rsidR="00C418B9" w:rsidRPr="00442195">
        <w:rPr>
          <w:rFonts w:asciiTheme="majorBidi" w:hAnsiTheme="majorBidi" w:cstheme="majorBidi"/>
          <w:b/>
          <w:bCs/>
        </w:rPr>
        <w:t xml:space="preserve">I.2.1.3- Le transport solide en dissolution : </w:t>
      </w:r>
    </w:p>
    <w:p w:rsidR="00C418B9" w:rsidRPr="00442195" w:rsidRDefault="00C418B9" w:rsidP="00C418B9">
      <w:pPr>
        <w:pStyle w:val="Default"/>
        <w:spacing w:line="360" w:lineRule="auto"/>
        <w:ind w:firstLine="708"/>
        <w:jc w:val="both"/>
        <w:rPr>
          <w:rFonts w:asciiTheme="majorBidi" w:hAnsiTheme="majorBidi" w:cstheme="majorBidi"/>
        </w:rPr>
      </w:pPr>
      <w:r w:rsidRPr="00442195">
        <w:rPr>
          <w:rFonts w:asciiTheme="majorBidi" w:hAnsiTheme="majorBidi" w:cstheme="majorBidi"/>
        </w:rPr>
        <w:t xml:space="preserve">Il concerne les matières transportées en solution dans l’eau venant de l’érosion chimique des bassins versants, des pollutions anthropiques et des apports atmosphériques. Cette troisième partie ne représente qu’une infime partie de débit global solide. </w:t>
      </w:r>
    </w:p>
    <w:p w:rsidR="00C418B9" w:rsidRPr="00442195" w:rsidRDefault="00C418B9" w:rsidP="00C418B9">
      <w:pPr>
        <w:pStyle w:val="Default"/>
        <w:spacing w:line="360" w:lineRule="auto"/>
        <w:ind w:firstLine="708"/>
        <w:jc w:val="both"/>
        <w:rPr>
          <w:rFonts w:asciiTheme="majorBidi" w:hAnsiTheme="majorBidi" w:cstheme="majorBidi"/>
        </w:rPr>
      </w:pPr>
    </w:p>
    <w:p w:rsidR="00C418B9" w:rsidRPr="00442195" w:rsidRDefault="00257DFF" w:rsidP="00C418B9">
      <w:pPr>
        <w:spacing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I.3  L’ENVASEMENT :</w:t>
      </w:r>
    </w:p>
    <w:p w:rsidR="00C418B9" w:rsidRPr="00442195" w:rsidRDefault="00C418B9" w:rsidP="00C418B9">
      <w:pPr>
        <w:spacing w:line="360" w:lineRule="auto"/>
        <w:jc w:val="both"/>
        <w:rPr>
          <w:rFonts w:asciiTheme="majorBidi" w:hAnsiTheme="majorBidi" w:cstheme="majorBidi"/>
          <w:sz w:val="24"/>
          <w:szCs w:val="24"/>
        </w:rPr>
      </w:pPr>
      <w:r w:rsidRPr="00442195">
        <w:rPr>
          <w:rFonts w:asciiTheme="majorBidi" w:hAnsiTheme="majorBidi" w:cstheme="majorBidi"/>
          <w:sz w:val="24"/>
          <w:szCs w:val="24"/>
        </w:rPr>
        <w:t>L’envasement est un résultat de transport solide :</w:t>
      </w:r>
    </w:p>
    <w:p w:rsidR="00C418B9" w:rsidRPr="00442195" w:rsidRDefault="009E3D45" w:rsidP="00C418B9">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59264" behindDoc="0" locked="0" layoutInCell="1" allowOverlap="1">
            <wp:simplePos x="0" y="0"/>
            <wp:positionH relativeFrom="column">
              <wp:posOffset>1464945</wp:posOffset>
            </wp:positionH>
            <wp:positionV relativeFrom="paragraph">
              <wp:posOffset>12700</wp:posOffset>
            </wp:positionV>
            <wp:extent cx="2550160" cy="2880995"/>
            <wp:effectExtent l="19050" t="0" r="2540" b="0"/>
            <wp:wrapSquare wrapText="bothSides"/>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lum bright="-31000"/>
                    </a:blip>
                    <a:srcRect/>
                    <a:stretch>
                      <a:fillRect/>
                    </a:stretch>
                  </pic:blipFill>
                  <pic:spPr bwMode="auto">
                    <a:xfrm>
                      <a:off x="0" y="0"/>
                      <a:ext cx="2550160" cy="2880995"/>
                    </a:xfrm>
                    <a:prstGeom prst="rect">
                      <a:avLst/>
                    </a:prstGeom>
                    <a:noFill/>
                    <a:ln w="9525">
                      <a:noFill/>
                      <a:miter lim="800000"/>
                      <a:headEnd/>
                      <a:tailEnd/>
                    </a:ln>
                  </pic:spPr>
                </pic:pic>
              </a:graphicData>
            </a:graphic>
          </wp:anchor>
        </w:drawing>
      </w:r>
    </w:p>
    <w:p w:rsidR="00C418B9" w:rsidRPr="00442195" w:rsidRDefault="00C418B9" w:rsidP="00C418B9">
      <w:pPr>
        <w:spacing w:line="360" w:lineRule="auto"/>
        <w:jc w:val="both"/>
        <w:rPr>
          <w:rFonts w:asciiTheme="majorBidi" w:hAnsiTheme="majorBidi" w:cstheme="majorBidi"/>
          <w:sz w:val="24"/>
          <w:szCs w:val="24"/>
        </w:rPr>
      </w:pPr>
      <w:r w:rsidRPr="00442195">
        <w:rPr>
          <w:rFonts w:asciiTheme="majorBidi" w:hAnsiTheme="majorBidi" w:cstheme="majorBidi"/>
          <w:sz w:val="24"/>
          <w:szCs w:val="24"/>
        </w:rPr>
        <w:t xml:space="preserve"> </w:t>
      </w:r>
    </w:p>
    <w:p w:rsidR="00C418B9" w:rsidRPr="00442195" w:rsidRDefault="00C418B9" w:rsidP="00C418B9">
      <w:pPr>
        <w:spacing w:line="360" w:lineRule="auto"/>
        <w:jc w:val="both"/>
        <w:rPr>
          <w:rFonts w:asciiTheme="majorBidi" w:hAnsiTheme="majorBidi" w:cstheme="majorBidi"/>
          <w:sz w:val="24"/>
          <w:szCs w:val="24"/>
        </w:rPr>
      </w:pPr>
    </w:p>
    <w:p w:rsidR="00C418B9" w:rsidRDefault="00C418B9" w:rsidP="00C418B9">
      <w:pPr>
        <w:spacing w:line="360" w:lineRule="auto"/>
        <w:jc w:val="both"/>
        <w:rPr>
          <w:rFonts w:asciiTheme="majorBidi" w:hAnsiTheme="majorBidi" w:cstheme="majorBidi"/>
          <w:sz w:val="24"/>
          <w:szCs w:val="24"/>
        </w:rPr>
      </w:pPr>
    </w:p>
    <w:p w:rsidR="00114CCA" w:rsidRDefault="00114CCA" w:rsidP="00C418B9">
      <w:pPr>
        <w:spacing w:line="360" w:lineRule="auto"/>
        <w:jc w:val="both"/>
        <w:rPr>
          <w:rFonts w:asciiTheme="majorBidi" w:hAnsiTheme="majorBidi" w:cstheme="majorBidi"/>
          <w:sz w:val="24"/>
          <w:szCs w:val="24"/>
        </w:rPr>
      </w:pPr>
    </w:p>
    <w:p w:rsidR="00114CCA" w:rsidRDefault="00114CCA" w:rsidP="00C418B9">
      <w:pPr>
        <w:spacing w:line="360" w:lineRule="auto"/>
        <w:jc w:val="both"/>
        <w:rPr>
          <w:rFonts w:asciiTheme="majorBidi" w:hAnsiTheme="majorBidi" w:cstheme="majorBidi"/>
          <w:sz w:val="24"/>
          <w:szCs w:val="24"/>
        </w:rPr>
      </w:pPr>
    </w:p>
    <w:p w:rsidR="00114CCA" w:rsidRDefault="00114CCA"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Default="005848E1" w:rsidP="00C418B9">
      <w:pPr>
        <w:spacing w:line="360" w:lineRule="auto"/>
        <w:jc w:val="both"/>
        <w:rPr>
          <w:rFonts w:asciiTheme="majorBidi" w:hAnsiTheme="majorBidi" w:cstheme="majorBidi" w:hint="cs"/>
          <w:sz w:val="24"/>
          <w:szCs w:val="24"/>
          <w:rtl/>
        </w:rPr>
      </w:pPr>
    </w:p>
    <w:p w:rsidR="005848E1" w:rsidRPr="00442195" w:rsidRDefault="005848E1" w:rsidP="00C418B9">
      <w:pPr>
        <w:spacing w:line="360" w:lineRule="auto"/>
        <w:jc w:val="both"/>
        <w:rPr>
          <w:rFonts w:asciiTheme="majorBidi" w:hAnsiTheme="majorBidi" w:cstheme="majorBidi"/>
          <w:sz w:val="24"/>
          <w:szCs w:val="24"/>
        </w:rPr>
      </w:pPr>
    </w:p>
    <w:p w:rsidR="00C418B9" w:rsidRPr="00442195" w:rsidRDefault="00C418B9" w:rsidP="00C418B9">
      <w:pPr>
        <w:spacing w:line="360" w:lineRule="auto"/>
        <w:jc w:val="both"/>
        <w:rPr>
          <w:rFonts w:asciiTheme="majorBidi" w:hAnsiTheme="majorBidi" w:cstheme="majorBidi"/>
          <w:sz w:val="24"/>
          <w:szCs w:val="24"/>
        </w:rPr>
      </w:pPr>
    </w:p>
    <w:p w:rsidR="009E3D45" w:rsidRDefault="009E3D45" w:rsidP="00C418B9">
      <w:pPr>
        <w:spacing w:line="360" w:lineRule="auto"/>
        <w:jc w:val="both"/>
        <w:rPr>
          <w:rFonts w:asciiTheme="majorBidi" w:hAnsiTheme="majorBidi" w:cstheme="majorBidi"/>
          <w:sz w:val="24"/>
          <w:szCs w:val="24"/>
        </w:rPr>
      </w:pPr>
    </w:p>
    <w:p w:rsidR="00C418B9" w:rsidRPr="00442195" w:rsidRDefault="00257DFF" w:rsidP="00C418B9">
      <w:pPr>
        <w:spacing w:line="360" w:lineRule="auto"/>
        <w:jc w:val="both"/>
        <w:rPr>
          <w:rFonts w:asciiTheme="majorBidi" w:hAnsiTheme="majorBidi" w:cstheme="majorBidi"/>
          <w:b/>
          <w:bCs/>
          <w:sz w:val="24"/>
          <w:szCs w:val="24"/>
        </w:rPr>
      </w:pPr>
      <w:r w:rsidRPr="00C418B9">
        <w:rPr>
          <w:rFonts w:asciiTheme="majorBidi" w:hAnsiTheme="majorBidi" w:cstheme="majorBidi"/>
          <w:b/>
          <w:bCs/>
          <w:sz w:val="24"/>
          <w:szCs w:val="24"/>
        </w:rPr>
        <w:t>I</w:t>
      </w:r>
      <w:r w:rsidRPr="00442195">
        <w:rPr>
          <w:rFonts w:asciiTheme="majorBidi" w:hAnsiTheme="majorBidi" w:cstheme="majorBidi"/>
          <w:b/>
          <w:bCs/>
          <w:sz w:val="24"/>
          <w:szCs w:val="24"/>
        </w:rPr>
        <w:t xml:space="preserve"> </w:t>
      </w:r>
      <w:r>
        <w:rPr>
          <w:rFonts w:asciiTheme="majorBidi" w:hAnsiTheme="majorBidi" w:cstheme="majorBidi"/>
          <w:b/>
          <w:bCs/>
          <w:sz w:val="24"/>
          <w:szCs w:val="24"/>
        </w:rPr>
        <w:t>.</w:t>
      </w:r>
      <w:r w:rsidR="00C418B9" w:rsidRPr="00442195">
        <w:rPr>
          <w:rFonts w:asciiTheme="majorBidi" w:hAnsiTheme="majorBidi" w:cstheme="majorBidi"/>
          <w:b/>
          <w:bCs/>
          <w:sz w:val="24"/>
          <w:szCs w:val="24"/>
        </w:rPr>
        <w:t>I.4- Conclusion :</w:t>
      </w:r>
    </w:p>
    <w:p w:rsidR="00C418B9" w:rsidRPr="00442195" w:rsidRDefault="00C418B9" w:rsidP="00C418B9">
      <w:pPr>
        <w:spacing w:line="360" w:lineRule="auto"/>
        <w:jc w:val="both"/>
        <w:rPr>
          <w:rFonts w:asciiTheme="majorBidi" w:hAnsiTheme="majorBidi" w:cstheme="majorBidi"/>
          <w:sz w:val="24"/>
          <w:szCs w:val="24"/>
        </w:rPr>
      </w:pPr>
      <w:r w:rsidRPr="00442195">
        <w:rPr>
          <w:rFonts w:asciiTheme="majorBidi" w:hAnsiTheme="majorBidi" w:cstheme="majorBidi"/>
          <w:noProof/>
          <w:color w:val="060A12"/>
          <w:sz w:val="24"/>
          <w:szCs w:val="24"/>
        </w:rPr>
        <w:t>Dans un cours d’eau naturel, le débit solide en suspension est superieur au débit solide par charriage, dans la littérature, ce dernier est estimé généralement à 30% du débit solide en suspension. Les conséquences désastreuses de ce phénomène exigent une prise en charge sérieuse de l’estimation des deux modes de transport, une analyse granulométrique des sediments transportés ainsi qu’une contification des éléments dissouts et du même ordre d’importance.ainsi qu’à sugerrer des solutions</w:t>
      </w:r>
    </w:p>
    <w:p w:rsidR="008C3239" w:rsidRDefault="008C3239"/>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Default="009E3D45"/>
    <w:p w:rsidR="009E3D45" w:rsidRPr="005C3A14" w:rsidRDefault="009E3D45" w:rsidP="00257DFF">
      <w:pPr>
        <w:autoSpaceDE w:val="0"/>
        <w:autoSpaceDN w:val="0"/>
        <w:adjustRightInd w:val="0"/>
        <w:spacing w:after="0" w:line="360" w:lineRule="auto"/>
        <w:jc w:val="center"/>
        <w:rPr>
          <w:rFonts w:asciiTheme="majorBidi" w:hAnsiTheme="majorBidi" w:cstheme="majorBidi"/>
          <w:b/>
          <w:bCs/>
          <w:sz w:val="24"/>
          <w:szCs w:val="24"/>
        </w:rPr>
      </w:pPr>
      <w:r w:rsidRPr="005C3A14">
        <w:rPr>
          <w:rFonts w:asciiTheme="majorBidi" w:hAnsiTheme="majorBidi" w:cstheme="majorBidi"/>
          <w:b/>
          <w:bCs/>
          <w:sz w:val="24"/>
          <w:szCs w:val="24"/>
        </w:rPr>
        <w:t>PARTIE</w:t>
      </w:r>
      <w:r w:rsidR="00257DFF" w:rsidRPr="00257DFF">
        <w:rPr>
          <w:rFonts w:asciiTheme="majorBidi" w:hAnsiTheme="majorBidi" w:cstheme="majorBidi"/>
          <w:b/>
          <w:bCs/>
          <w:sz w:val="24"/>
          <w:szCs w:val="24"/>
        </w:rPr>
        <w:t xml:space="preserve"> </w:t>
      </w:r>
      <w:r w:rsidR="00257DFF">
        <w:rPr>
          <w:rFonts w:asciiTheme="majorBidi" w:hAnsiTheme="majorBidi" w:cstheme="majorBidi"/>
          <w:b/>
          <w:bCs/>
          <w:sz w:val="24"/>
          <w:szCs w:val="24"/>
        </w:rPr>
        <w:t>II :</w:t>
      </w:r>
      <w:r w:rsidR="00257DFF" w:rsidRPr="005C3A14">
        <w:rPr>
          <w:rFonts w:asciiTheme="majorBidi" w:hAnsiTheme="majorBidi" w:cstheme="majorBidi"/>
          <w:b/>
          <w:bCs/>
          <w:sz w:val="24"/>
          <w:szCs w:val="24"/>
          <w:lang w:bidi="ar-DZ"/>
        </w:rPr>
        <w:t xml:space="preserve"> Aperçu</w:t>
      </w:r>
      <w:r w:rsidRPr="005C3A14">
        <w:rPr>
          <w:rFonts w:asciiTheme="majorBidi" w:hAnsiTheme="majorBidi" w:cstheme="majorBidi"/>
          <w:b/>
          <w:bCs/>
          <w:sz w:val="24"/>
          <w:szCs w:val="24"/>
        </w:rPr>
        <w:t xml:space="preserve"> général sur le B.V d’Oued el Abiod</w:t>
      </w:r>
    </w:p>
    <w:p w:rsidR="009E3D45" w:rsidRPr="00257DFF" w:rsidRDefault="00257DFF" w:rsidP="00257DFF">
      <w:pPr>
        <w:autoSpaceDE w:val="0"/>
        <w:autoSpaceDN w:val="0"/>
        <w:adjustRightInd w:val="0"/>
        <w:spacing w:line="360" w:lineRule="auto"/>
        <w:jc w:val="both"/>
        <w:rPr>
          <w:rFonts w:asciiTheme="majorBidi" w:hAnsiTheme="majorBidi" w:cstheme="majorBidi"/>
          <w:b/>
          <w:bCs/>
          <w:sz w:val="24"/>
          <w:szCs w:val="24"/>
        </w:rPr>
      </w:pPr>
      <w:r w:rsidRPr="00257DFF">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257DFF">
        <w:rPr>
          <w:rFonts w:asciiTheme="majorBidi" w:hAnsiTheme="majorBidi" w:cstheme="majorBidi"/>
          <w:b/>
          <w:bCs/>
          <w:sz w:val="24"/>
          <w:szCs w:val="24"/>
        </w:rPr>
        <w:t xml:space="preserve"> </w:t>
      </w:r>
      <w:r>
        <w:rPr>
          <w:rFonts w:asciiTheme="majorBidi" w:hAnsiTheme="majorBidi" w:cstheme="majorBidi"/>
          <w:b/>
          <w:bCs/>
          <w:sz w:val="24"/>
          <w:szCs w:val="24"/>
        </w:rPr>
        <w:t>II.1</w:t>
      </w:r>
      <w:r w:rsidR="009E3D45" w:rsidRPr="00257DFF">
        <w:rPr>
          <w:rFonts w:asciiTheme="majorBidi" w:hAnsiTheme="majorBidi" w:cstheme="majorBidi"/>
          <w:b/>
          <w:bCs/>
          <w:sz w:val="24"/>
          <w:szCs w:val="24"/>
        </w:rPr>
        <w:t xml:space="preserve">  Les bassins versants Algériens :</w:t>
      </w:r>
    </w:p>
    <w:p w:rsidR="009E3D45" w:rsidRPr="005C3A14" w:rsidRDefault="009E3D45" w:rsidP="009E3D45">
      <w:pPr>
        <w:spacing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5C3A14">
        <w:rPr>
          <w:rFonts w:asciiTheme="majorBidi" w:hAnsiTheme="majorBidi" w:cstheme="majorBidi"/>
          <w:color w:val="000000"/>
          <w:sz w:val="24"/>
          <w:szCs w:val="24"/>
        </w:rPr>
        <w:t xml:space="preserve"> Le Gouvernement Algérien, dans le cadre de sa nouvelle politique de l'eau, a créé en août 1996 cinq Agences de Bassin Hydrographique regroupant les 17 bassins versants du pays. Les ressources renouvelables en eau superficielle totalisent environ 9.8 km</w:t>
      </w:r>
      <w:r w:rsidRPr="005C3A14">
        <w:rPr>
          <w:rFonts w:asciiTheme="majorBidi" w:hAnsiTheme="majorBidi" w:cstheme="majorBidi"/>
          <w:color w:val="000000"/>
          <w:sz w:val="24"/>
          <w:szCs w:val="24"/>
          <w:vertAlign w:val="superscript"/>
        </w:rPr>
        <w:t>3</w:t>
      </w:r>
      <w:r w:rsidRPr="005C3A14">
        <w:rPr>
          <w:rFonts w:asciiTheme="majorBidi" w:hAnsiTheme="majorBidi" w:cstheme="majorBidi"/>
          <w:color w:val="000000"/>
          <w:sz w:val="24"/>
          <w:szCs w:val="24"/>
        </w:rPr>
        <w:t>/an pour l’ensemble du pays dont le Sahara, le bassin le plus grand</w:t>
      </w:r>
      <w:r w:rsidRPr="005C3A14">
        <w:rPr>
          <w:rFonts w:asciiTheme="majorBidi" w:hAnsiTheme="majorBidi" w:cstheme="majorBidi"/>
          <w:sz w:val="24"/>
          <w:szCs w:val="24"/>
        </w:rPr>
        <w:t>, ne renferme que 0.6 km</w:t>
      </w:r>
      <w:r w:rsidRPr="005C3A14">
        <w:rPr>
          <w:rFonts w:asciiTheme="majorBidi" w:hAnsiTheme="majorBidi" w:cstheme="majorBidi"/>
          <w:sz w:val="24"/>
          <w:szCs w:val="24"/>
          <w:vertAlign w:val="superscript"/>
        </w:rPr>
        <w:t>3</w:t>
      </w:r>
      <w:r w:rsidRPr="005C3A14">
        <w:rPr>
          <w:rFonts w:asciiTheme="majorBidi" w:hAnsiTheme="majorBidi" w:cstheme="majorBidi"/>
          <w:sz w:val="24"/>
          <w:szCs w:val="24"/>
        </w:rPr>
        <w:t>/an. Les</w:t>
      </w:r>
      <w:r w:rsidRPr="005C3A14">
        <w:rPr>
          <w:rFonts w:asciiTheme="majorBidi" w:hAnsiTheme="majorBidi" w:cstheme="majorBidi"/>
          <w:color w:val="000000"/>
          <w:sz w:val="24"/>
          <w:szCs w:val="24"/>
        </w:rPr>
        <w:t xml:space="preserve"> ressources en eau souterraine renouvelables contenues dans les nappes du nord du pays sont estimées à près de 1.5 km</w:t>
      </w:r>
      <w:r w:rsidRPr="005C3A14">
        <w:rPr>
          <w:rFonts w:asciiTheme="majorBidi" w:hAnsiTheme="majorBidi" w:cstheme="majorBidi"/>
          <w:color w:val="000000"/>
          <w:sz w:val="24"/>
          <w:szCs w:val="24"/>
          <w:vertAlign w:val="superscript"/>
        </w:rPr>
        <w:t>3</w:t>
      </w:r>
      <w:r w:rsidRPr="005C3A14">
        <w:rPr>
          <w:rFonts w:asciiTheme="majorBidi" w:hAnsiTheme="majorBidi" w:cstheme="majorBidi"/>
          <w:color w:val="000000"/>
          <w:sz w:val="24"/>
          <w:szCs w:val="24"/>
        </w:rPr>
        <w:t>/an.</w:t>
      </w:r>
      <w:r w:rsidRPr="005C3A14">
        <w:rPr>
          <w:rFonts w:asciiTheme="majorBidi" w:hAnsiTheme="majorBidi" w:cstheme="majorBidi"/>
          <w:i/>
          <w:iCs/>
          <w:color w:val="000000"/>
          <w:sz w:val="24"/>
          <w:szCs w:val="24"/>
        </w:rPr>
        <w:t xml:space="preserve"> </w:t>
      </w:r>
      <w:r w:rsidRPr="005C3A14">
        <w:rPr>
          <w:rFonts w:asciiTheme="majorBidi" w:hAnsiTheme="majorBidi" w:cstheme="majorBidi"/>
          <w:i/>
          <w:iCs/>
          <w:color w:val="FF0000"/>
          <w:sz w:val="24"/>
          <w:szCs w:val="24"/>
        </w:rPr>
        <w:t>(Ghenim A., Terfous A., et Seddini A., 2007).</w:t>
      </w:r>
    </w:p>
    <w:p w:rsidR="009E3D45" w:rsidRPr="00257DFF" w:rsidRDefault="009E3D45" w:rsidP="00257DFF">
      <w:pPr>
        <w:spacing w:line="360" w:lineRule="auto"/>
        <w:jc w:val="both"/>
        <w:rPr>
          <w:rFonts w:asciiTheme="majorBidi" w:hAnsiTheme="majorBidi" w:cstheme="majorBidi"/>
          <w:i/>
          <w:iCs/>
          <w:color w:val="FF0000"/>
          <w:sz w:val="24"/>
          <w:szCs w:val="24"/>
        </w:rPr>
      </w:pPr>
      <w:r w:rsidRPr="00257DFF">
        <w:rPr>
          <w:rFonts w:asciiTheme="majorBidi" w:hAnsiTheme="majorBidi" w:cstheme="majorBidi"/>
          <w:color w:val="000000"/>
          <w:sz w:val="24"/>
          <w:szCs w:val="24"/>
        </w:rPr>
        <w:t>Le sud du pays se caractérise par l’existence de ressources en eau souterraines très importantes provenant des nappes du continental intercalaire et du complexe terminal. Si l’on considère qu’il n’existe pas de partie commune entre eaux de surface et eaux souterraines, les ressources totales renouvelables S’élèvent à 11.3 km</w:t>
      </w:r>
      <w:r w:rsidRPr="00257DFF">
        <w:rPr>
          <w:rFonts w:asciiTheme="majorBidi" w:hAnsiTheme="majorBidi" w:cstheme="majorBidi"/>
          <w:color w:val="000000"/>
          <w:sz w:val="24"/>
          <w:szCs w:val="24"/>
          <w:vertAlign w:val="superscript"/>
        </w:rPr>
        <w:t>3</w:t>
      </w:r>
      <w:r w:rsidRPr="00257DFF">
        <w:rPr>
          <w:rFonts w:asciiTheme="majorBidi" w:hAnsiTheme="majorBidi" w:cstheme="majorBidi"/>
          <w:color w:val="000000"/>
          <w:sz w:val="24"/>
          <w:szCs w:val="24"/>
        </w:rPr>
        <w:t>/an, les ressources exploitables sont évaluées à 7.9 km</w:t>
      </w:r>
      <w:r w:rsidRPr="00257DFF">
        <w:rPr>
          <w:rFonts w:asciiTheme="majorBidi" w:hAnsiTheme="majorBidi" w:cstheme="majorBidi"/>
          <w:color w:val="000000"/>
          <w:sz w:val="24"/>
          <w:szCs w:val="24"/>
          <w:vertAlign w:val="superscript"/>
        </w:rPr>
        <w:t>3</w:t>
      </w:r>
      <w:r w:rsidRPr="00257DFF">
        <w:rPr>
          <w:rFonts w:asciiTheme="majorBidi" w:hAnsiTheme="majorBidi" w:cstheme="majorBidi"/>
          <w:color w:val="000000"/>
          <w:sz w:val="24"/>
          <w:szCs w:val="24"/>
        </w:rPr>
        <w:t>/an.</w:t>
      </w:r>
      <w:r w:rsidRPr="00257DFF">
        <w:rPr>
          <w:rFonts w:asciiTheme="majorBidi" w:hAnsiTheme="majorBidi" w:cstheme="majorBidi"/>
          <w:i/>
          <w:iCs/>
          <w:color w:val="FF0000"/>
          <w:sz w:val="24"/>
          <w:szCs w:val="24"/>
        </w:rPr>
        <w:t xml:space="preserve"> (Ghenim A., Terfous A., et Seddini A., 2007).</w:t>
      </w:r>
    </w:p>
    <w:p w:rsidR="009E3D45" w:rsidRPr="005C3A14" w:rsidRDefault="009E3D45" w:rsidP="009E3D45">
      <w:pPr>
        <w:pStyle w:val="Paragraphedeliste"/>
        <w:autoSpaceDE w:val="0"/>
        <w:autoSpaceDN w:val="0"/>
        <w:adjustRightInd w:val="0"/>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660288" behindDoc="0" locked="0" layoutInCell="1" allowOverlap="1">
            <wp:simplePos x="0" y="0"/>
            <wp:positionH relativeFrom="column">
              <wp:posOffset>23495</wp:posOffset>
            </wp:positionH>
            <wp:positionV relativeFrom="paragraph">
              <wp:posOffset>203200</wp:posOffset>
            </wp:positionV>
            <wp:extent cx="6010275" cy="3390900"/>
            <wp:effectExtent l="19050" t="0" r="9525" b="0"/>
            <wp:wrapSquare wrapText="bothSides"/>
            <wp:docPr id="4" name="Image 1" descr="C:\Users\MAISON XP\Desktop\Sans titreB 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Desktop\Sans titreB V.png"/>
                    <pic:cNvPicPr>
                      <a:picLocks noChangeAspect="1" noChangeArrowheads="1"/>
                    </pic:cNvPicPr>
                  </pic:nvPicPr>
                  <pic:blipFill>
                    <a:blip r:embed="rId9"/>
                    <a:srcRect/>
                    <a:stretch>
                      <a:fillRect/>
                    </a:stretch>
                  </pic:blipFill>
                  <pic:spPr bwMode="auto">
                    <a:xfrm>
                      <a:off x="0" y="0"/>
                      <a:ext cx="6010275" cy="3390900"/>
                    </a:xfrm>
                    <a:prstGeom prst="rect">
                      <a:avLst/>
                    </a:prstGeom>
                    <a:noFill/>
                    <a:ln w="9525">
                      <a:noFill/>
                      <a:miter lim="800000"/>
                      <a:headEnd/>
                      <a:tailEnd/>
                    </a:ln>
                  </pic:spPr>
                </pic:pic>
              </a:graphicData>
            </a:graphic>
          </wp:anchor>
        </w:drawing>
      </w:r>
    </w:p>
    <w:p w:rsidR="009E3D45" w:rsidRPr="009E3D45" w:rsidRDefault="009E3D45" w:rsidP="009E3D45">
      <w:pPr>
        <w:spacing w:line="360" w:lineRule="auto"/>
        <w:jc w:val="center"/>
        <w:rPr>
          <w:rFonts w:asciiTheme="majorBidi" w:hAnsiTheme="majorBidi" w:cstheme="majorBidi"/>
          <w:b/>
          <w:bCs/>
        </w:rPr>
      </w:pPr>
      <w:r w:rsidRPr="009E3D45">
        <w:rPr>
          <w:rFonts w:asciiTheme="majorBidi" w:hAnsiTheme="majorBidi" w:cstheme="majorBidi"/>
          <w:b/>
          <w:bCs/>
        </w:rPr>
        <w:t>Figure (</w:t>
      </w:r>
      <w:r w:rsidR="007C4A9B" w:rsidRPr="007C4A9B">
        <w:rPr>
          <w:rFonts w:asciiTheme="majorBidi" w:eastAsiaTheme="majorEastAsia" w:hAnsiTheme="majorBidi" w:cstheme="majorBidi"/>
          <w:b/>
          <w:bCs/>
        </w:rPr>
        <w:t>I</w:t>
      </w:r>
      <w:r w:rsidR="007C4A9B">
        <w:rPr>
          <w:rFonts w:asciiTheme="majorBidi" w:eastAsiaTheme="majorEastAsia" w:hAnsiTheme="majorBidi" w:cstheme="majorBidi"/>
          <w:b/>
          <w:bCs/>
          <w:sz w:val="24"/>
          <w:szCs w:val="24"/>
        </w:rPr>
        <w:t>.</w:t>
      </w:r>
      <w:r w:rsidRPr="009E3D45">
        <w:rPr>
          <w:rFonts w:asciiTheme="majorBidi" w:hAnsiTheme="majorBidi" w:cstheme="majorBidi"/>
          <w:b/>
          <w:bCs/>
        </w:rPr>
        <w:t>II.1) : Les bassins versants algériens.</w:t>
      </w:r>
    </w:p>
    <w:p w:rsidR="009E3D45" w:rsidRDefault="009E3D45" w:rsidP="009E3D45">
      <w:pPr>
        <w:autoSpaceDE w:val="0"/>
        <w:autoSpaceDN w:val="0"/>
        <w:adjustRightInd w:val="0"/>
        <w:spacing w:after="0" w:line="360" w:lineRule="auto"/>
        <w:jc w:val="center"/>
        <w:rPr>
          <w:rFonts w:asciiTheme="majorBidi" w:hAnsiTheme="majorBidi" w:cstheme="majorBidi"/>
          <w:b/>
          <w:bCs/>
          <w:sz w:val="24"/>
          <w:szCs w:val="24"/>
        </w:rPr>
      </w:pPr>
    </w:p>
    <w:p w:rsidR="00257DFF" w:rsidRPr="005C3A14" w:rsidRDefault="00257DFF" w:rsidP="009E3D45">
      <w:pPr>
        <w:autoSpaceDE w:val="0"/>
        <w:autoSpaceDN w:val="0"/>
        <w:adjustRightInd w:val="0"/>
        <w:spacing w:after="0" w:line="360" w:lineRule="auto"/>
        <w:jc w:val="center"/>
        <w:rPr>
          <w:rFonts w:asciiTheme="majorBidi" w:hAnsiTheme="majorBidi" w:cstheme="majorBidi"/>
          <w:b/>
          <w:bCs/>
          <w:sz w:val="24"/>
          <w:szCs w:val="24"/>
        </w:rPr>
      </w:pPr>
    </w:p>
    <w:p w:rsidR="009E3D45" w:rsidRPr="005C3A14" w:rsidRDefault="00257DFF" w:rsidP="009E3D45">
      <w:pPr>
        <w:autoSpaceDE w:val="0"/>
        <w:autoSpaceDN w:val="0"/>
        <w:adjustRightInd w:val="0"/>
        <w:spacing w:after="0" w:line="360" w:lineRule="auto"/>
        <w:rPr>
          <w:rFonts w:asciiTheme="majorBidi" w:hAnsiTheme="majorBidi" w:cstheme="majorBidi"/>
          <w:b/>
          <w:bCs/>
          <w:color w:val="000000"/>
          <w:sz w:val="24"/>
          <w:szCs w:val="24"/>
        </w:rPr>
      </w:pPr>
      <w:r w:rsidRPr="00257DFF">
        <w:rPr>
          <w:rFonts w:asciiTheme="majorBidi" w:eastAsiaTheme="majorEastAsia" w:hAnsiTheme="majorBidi" w:cstheme="majorBidi"/>
          <w:b/>
          <w:bCs/>
          <w:sz w:val="24"/>
          <w:szCs w:val="24"/>
        </w:rPr>
        <w:t>I</w:t>
      </w:r>
      <w:r w:rsidRPr="005C3A14">
        <w:rPr>
          <w:rFonts w:asciiTheme="majorBidi" w:hAnsiTheme="majorBidi" w:cstheme="majorBidi"/>
          <w:b/>
          <w:bCs/>
          <w:sz w:val="24"/>
          <w:szCs w:val="24"/>
        </w:rPr>
        <w:t xml:space="preserve"> </w:t>
      </w:r>
      <w:r>
        <w:rPr>
          <w:rFonts w:asciiTheme="majorBidi" w:hAnsiTheme="majorBidi" w:cstheme="majorBidi"/>
          <w:b/>
          <w:bCs/>
          <w:sz w:val="24"/>
          <w:szCs w:val="24"/>
        </w:rPr>
        <w:t xml:space="preserve">.II.2 </w:t>
      </w:r>
      <w:r w:rsidR="009E3D45" w:rsidRPr="005C3A14">
        <w:rPr>
          <w:rFonts w:asciiTheme="majorBidi" w:hAnsiTheme="majorBidi" w:cstheme="majorBidi"/>
          <w:b/>
          <w:bCs/>
          <w:sz w:val="24"/>
          <w:szCs w:val="24"/>
        </w:rPr>
        <w:t xml:space="preserve"> Situation géographique du B.V </w:t>
      </w:r>
      <w:r w:rsidR="009E3D45" w:rsidRPr="005C3A14">
        <w:rPr>
          <w:rFonts w:asciiTheme="majorBidi" w:hAnsiTheme="majorBidi" w:cstheme="majorBidi"/>
          <w:b/>
          <w:bCs/>
          <w:color w:val="000000"/>
          <w:sz w:val="24"/>
          <w:szCs w:val="24"/>
        </w:rPr>
        <w:t>d’Oued el Abiod :</w:t>
      </w:r>
      <w:r w:rsidR="009E3D45" w:rsidRPr="005C3A14">
        <w:rPr>
          <w:rFonts w:asciiTheme="majorBidi" w:hAnsiTheme="majorBidi" w:cstheme="majorBidi"/>
          <w:b/>
          <w:bCs/>
          <w:sz w:val="24"/>
          <w:szCs w:val="24"/>
        </w:rPr>
        <w:t> </w:t>
      </w:r>
    </w:p>
    <w:p w:rsidR="009E3D45" w:rsidRPr="005C3A14" w:rsidRDefault="009E3D45" w:rsidP="009E3D45">
      <w:pPr>
        <w:autoSpaceDE w:val="0"/>
        <w:autoSpaceDN w:val="0"/>
        <w:adjustRightInd w:val="0"/>
        <w:spacing w:after="0" w:line="360" w:lineRule="auto"/>
        <w:ind w:firstLine="708"/>
        <w:jc w:val="both"/>
        <w:rPr>
          <w:rFonts w:asciiTheme="majorBidi" w:hAnsiTheme="majorBidi" w:cstheme="majorBidi"/>
          <w:sz w:val="24"/>
          <w:szCs w:val="24"/>
        </w:rPr>
      </w:pPr>
      <w:r w:rsidRPr="005C3A14">
        <w:rPr>
          <w:rFonts w:asciiTheme="majorBidi" w:hAnsiTheme="majorBidi" w:cstheme="majorBidi"/>
          <w:sz w:val="24"/>
          <w:szCs w:val="24"/>
        </w:rPr>
        <w:t>Le bassin versant Oued el Abiod est situé dans le massif des Aurès. Il fait partie du grand bassin hydrologique de Chott Melghir qui se compose de trois principaux oueds (sous- bassin): oued el Abiod ; oued Chenawra et oued Tkout formant par leur confluence oued Ghassira.</w:t>
      </w:r>
    </w:p>
    <w:p w:rsidR="009E3D45" w:rsidRPr="005C3A14" w:rsidRDefault="009E3D45" w:rsidP="00AC533E">
      <w:pPr>
        <w:autoSpaceDE w:val="0"/>
        <w:autoSpaceDN w:val="0"/>
        <w:adjustRightInd w:val="0"/>
        <w:spacing w:after="0" w:line="360" w:lineRule="auto"/>
        <w:ind w:firstLine="708"/>
        <w:jc w:val="both"/>
        <w:rPr>
          <w:rFonts w:asciiTheme="majorBidi" w:hAnsiTheme="majorBidi" w:cstheme="majorBidi"/>
          <w:sz w:val="24"/>
          <w:szCs w:val="24"/>
        </w:rPr>
      </w:pPr>
      <w:r w:rsidRPr="005C3A14">
        <w:rPr>
          <w:rFonts w:asciiTheme="majorBidi" w:hAnsiTheme="majorBidi" w:cstheme="majorBidi"/>
          <w:sz w:val="24"/>
          <w:szCs w:val="24"/>
        </w:rPr>
        <w:t>Oued</w:t>
      </w:r>
      <w:r w:rsidR="00AC533E">
        <w:rPr>
          <w:rFonts w:asciiTheme="majorBidi" w:hAnsiTheme="majorBidi" w:cstheme="majorBidi"/>
          <w:sz w:val="24"/>
          <w:szCs w:val="24"/>
        </w:rPr>
        <w:t xml:space="preserve"> </w:t>
      </w:r>
      <w:r w:rsidRPr="005C3A14">
        <w:rPr>
          <w:rFonts w:asciiTheme="majorBidi" w:hAnsiTheme="majorBidi" w:cstheme="majorBidi"/>
          <w:sz w:val="24"/>
          <w:szCs w:val="24"/>
        </w:rPr>
        <w:t xml:space="preserve"> </w:t>
      </w:r>
      <w:r w:rsidR="00AC533E">
        <w:rPr>
          <w:rFonts w:asciiTheme="majorBidi" w:hAnsiTheme="majorBidi" w:cstheme="majorBidi"/>
          <w:sz w:val="24"/>
          <w:szCs w:val="24"/>
        </w:rPr>
        <w:t>la</w:t>
      </w:r>
      <w:r w:rsidRPr="005C3A14">
        <w:rPr>
          <w:rFonts w:asciiTheme="majorBidi" w:hAnsiTheme="majorBidi" w:cstheme="majorBidi"/>
          <w:sz w:val="24"/>
          <w:szCs w:val="24"/>
        </w:rPr>
        <w:t>biod est formé par la réunion des torrents descendants des raides pentes de Chelia (2328m) et Ichemoul (2100m). Après avoir traversé Tighanimine, il s’encaisse dans les canyons de Rhoufi et les gorges de Mchouneche, puis s’ouvre une voie vers la plaine Saharienne jusqu’aux gorges de Foum el Gherza. Le bassin versant est caractérisé par sa dissymétrie, une partie montagneuse au Nord à plus de 2000 m (Chelia) et une autre basse au Sud (295m El Habel).Il s'étale sur une superficie de 1300 Km² circonscrite par un périmètre de 218Km.</w:t>
      </w:r>
    </w:p>
    <w:p w:rsidR="009E3D45" w:rsidRPr="005C3A14" w:rsidRDefault="009E3D45" w:rsidP="009E3D45">
      <w:pPr>
        <w:autoSpaceDE w:val="0"/>
        <w:autoSpaceDN w:val="0"/>
        <w:adjustRightInd w:val="0"/>
        <w:spacing w:after="0" w:line="360" w:lineRule="auto"/>
        <w:ind w:firstLine="708"/>
        <w:jc w:val="both"/>
        <w:rPr>
          <w:rFonts w:asciiTheme="majorBidi" w:hAnsiTheme="majorBidi" w:cstheme="majorBidi"/>
          <w:sz w:val="24"/>
          <w:szCs w:val="24"/>
        </w:rPr>
      </w:pPr>
      <w:r w:rsidRPr="005C3A14">
        <w:rPr>
          <w:rFonts w:asciiTheme="majorBidi" w:hAnsiTheme="majorBidi" w:cstheme="majorBidi"/>
          <w:sz w:val="24"/>
          <w:szCs w:val="24"/>
        </w:rPr>
        <w:t>Le b.v objet d'étude est situé à 60km au Sud-Est de la wilaya de Batna, il englobe 6 Communes et 3 Daïras qui s’étendent de Khenchela (Nord-est) jusqu’à Biskra (Sud-ouest) selon les coordonnées Lambert suivantes :</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tblPr>
      <w:tblGrid>
        <w:gridCol w:w="2136"/>
        <w:gridCol w:w="2136"/>
        <w:gridCol w:w="2136"/>
        <w:gridCol w:w="2137"/>
      </w:tblGrid>
      <w:tr w:rsidR="009E3D45" w:rsidRPr="005C3A14" w:rsidTr="00185C42">
        <w:trPr>
          <w:jc w:val="center"/>
        </w:trPr>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x1 = 858</w:t>
            </w:r>
          </w:p>
        </w:tc>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x2 = 836</w:t>
            </w:r>
          </w:p>
        </w:tc>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x3=820</w:t>
            </w:r>
          </w:p>
        </w:tc>
        <w:tc>
          <w:tcPr>
            <w:tcW w:w="2137"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x4=797</w:t>
            </w:r>
          </w:p>
        </w:tc>
      </w:tr>
      <w:tr w:rsidR="009E3D45" w:rsidRPr="005C3A14" w:rsidTr="00185C42">
        <w:trPr>
          <w:jc w:val="center"/>
        </w:trPr>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y1 =237</w:t>
            </w:r>
          </w:p>
        </w:tc>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y2 =203</w:t>
            </w:r>
          </w:p>
        </w:tc>
        <w:tc>
          <w:tcPr>
            <w:tcW w:w="2136"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y3=251</w:t>
            </w:r>
          </w:p>
        </w:tc>
        <w:tc>
          <w:tcPr>
            <w:tcW w:w="2137" w:type="dxa"/>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y4=183</w:t>
            </w:r>
          </w:p>
        </w:tc>
      </w:tr>
    </w:tbl>
    <w:p w:rsidR="009E3D45" w:rsidRPr="005C3A14" w:rsidRDefault="009E3D45" w:rsidP="009E3D45">
      <w:pPr>
        <w:tabs>
          <w:tab w:val="left" w:pos="708"/>
          <w:tab w:val="left" w:pos="1416"/>
          <w:tab w:val="left" w:pos="2124"/>
          <w:tab w:val="left" w:pos="2832"/>
          <w:tab w:val="left" w:pos="3540"/>
          <w:tab w:val="left" w:pos="4248"/>
          <w:tab w:val="left" w:pos="4956"/>
          <w:tab w:val="right" w:pos="9072"/>
        </w:tabs>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ab/>
      </w:r>
    </w:p>
    <w:p w:rsidR="009E3D45" w:rsidRPr="005C3A14" w:rsidRDefault="009E3D45" w:rsidP="009E3D45">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Et selon les coordonnées géographiques suivantes :</w:t>
      </w:r>
    </w:p>
    <w:tbl>
      <w:tblPr>
        <w:tblStyle w:val="Grilledutableau"/>
        <w:tblW w:w="10067" w:type="dxa"/>
        <w:jc w:val="center"/>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0"/>
        <w:gridCol w:w="1880"/>
        <w:gridCol w:w="1753"/>
        <w:gridCol w:w="8"/>
        <w:gridCol w:w="2796"/>
        <w:gridCol w:w="7"/>
        <w:gridCol w:w="2003"/>
      </w:tblGrid>
      <w:tr w:rsidR="009E3D45" w:rsidRPr="005C3A14" w:rsidTr="00185C42">
        <w:trPr>
          <w:gridBefore w:val="1"/>
          <w:wBefore w:w="1620" w:type="dxa"/>
          <w:trHeight w:val="240"/>
          <w:jc w:val="center"/>
        </w:trPr>
        <w:tc>
          <w:tcPr>
            <w:tcW w:w="1880" w:type="dxa"/>
            <w:tcBorders>
              <w:top w:val="double" w:sz="4" w:space="0" w:color="auto"/>
              <w:left w:val="double" w:sz="4" w:space="0" w:color="auto"/>
            </w:tcBorders>
          </w:tcPr>
          <w:p w:rsidR="009E3D45" w:rsidRPr="005C3A14" w:rsidRDefault="009E3D45" w:rsidP="008C3239">
            <w:pPr>
              <w:autoSpaceDE w:val="0"/>
              <w:autoSpaceDN w:val="0"/>
              <w:adjustRightInd w:val="0"/>
              <w:spacing w:line="360" w:lineRule="auto"/>
              <w:jc w:val="center"/>
              <w:rPr>
                <w:rFonts w:asciiTheme="majorBidi" w:hAnsiTheme="majorBidi" w:cstheme="majorBidi"/>
                <w:sz w:val="24"/>
                <w:szCs w:val="24"/>
                <w:vertAlign w:val="subscript"/>
              </w:rPr>
            </w:pPr>
            <w:r w:rsidRPr="005C3A14">
              <w:rPr>
                <w:rFonts w:asciiTheme="majorBidi" w:hAnsiTheme="majorBidi" w:cstheme="majorBidi"/>
                <w:sz w:val="24"/>
                <w:szCs w:val="24"/>
              </w:rPr>
              <w:t>X</w:t>
            </w:r>
            <w:r w:rsidRPr="005C3A14">
              <w:rPr>
                <w:rFonts w:asciiTheme="majorBidi" w:hAnsiTheme="majorBidi" w:cstheme="majorBidi"/>
                <w:sz w:val="24"/>
                <w:szCs w:val="24"/>
                <w:vertAlign w:val="subscript"/>
              </w:rPr>
              <w:t>1</w:t>
            </w:r>
          </w:p>
        </w:tc>
        <w:tc>
          <w:tcPr>
            <w:tcW w:w="1753" w:type="dxa"/>
            <w:tcBorders>
              <w:top w:val="double" w:sz="4" w:space="0" w:color="auto"/>
            </w:tcBorders>
          </w:tcPr>
          <w:p w:rsidR="009E3D45" w:rsidRPr="005C3A14" w:rsidRDefault="009E3D45" w:rsidP="008C3239">
            <w:pPr>
              <w:autoSpaceDE w:val="0"/>
              <w:autoSpaceDN w:val="0"/>
              <w:adjustRightInd w:val="0"/>
              <w:spacing w:line="360" w:lineRule="auto"/>
              <w:jc w:val="center"/>
              <w:rPr>
                <w:rFonts w:asciiTheme="majorBidi" w:hAnsiTheme="majorBidi" w:cstheme="majorBidi"/>
                <w:sz w:val="24"/>
                <w:szCs w:val="24"/>
                <w:vertAlign w:val="subscript"/>
              </w:rPr>
            </w:pPr>
            <w:r w:rsidRPr="005C3A14">
              <w:rPr>
                <w:rFonts w:asciiTheme="majorBidi" w:hAnsiTheme="majorBidi" w:cstheme="majorBidi"/>
                <w:sz w:val="24"/>
                <w:szCs w:val="24"/>
              </w:rPr>
              <w:t>X</w:t>
            </w:r>
            <w:r w:rsidRPr="005C3A14">
              <w:rPr>
                <w:rFonts w:asciiTheme="majorBidi" w:hAnsiTheme="majorBidi" w:cstheme="majorBidi"/>
                <w:sz w:val="24"/>
                <w:szCs w:val="24"/>
                <w:vertAlign w:val="subscript"/>
              </w:rPr>
              <w:t>2</w:t>
            </w:r>
          </w:p>
        </w:tc>
        <w:tc>
          <w:tcPr>
            <w:tcW w:w="2811" w:type="dxa"/>
            <w:gridSpan w:val="3"/>
            <w:tcBorders>
              <w:top w:val="double" w:sz="4" w:space="0" w:color="auto"/>
            </w:tcBorders>
          </w:tcPr>
          <w:p w:rsidR="009E3D45" w:rsidRPr="005C3A14" w:rsidRDefault="009E3D45" w:rsidP="008C3239">
            <w:pPr>
              <w:autoSpaceDE w:val="0"/>
              <w:autoSpaceDN w:val="0"/>
              <w:adjustRightInd w:val="0"/>
              <w:spacing w:line="360" w:lineRule="auto"/>
              <w:jc w:val="center"/>
              <w:rPr>
                <w:rFonts w:asciiTheme="majorBidi" w:hAnsiTheme="majorBidi" w:cstheme="majorBidi"/>
                <w:sz w:val="24"/>
                <w:szCs w:val="24"/>
                <w:vertAlign w:val="subscript"/>
              </w:rPr>
            </w:pPr>
            <w:r w:rsidRPr="005C3A14">
              <w:rPr>
                <w:rFonts w:asciiTheme="majorBidi" w:hAnsiTheme="majorBidi" w:cstheme="majorBidi"/>
                <w:sz w:val="24"/>
                <w:szCs w:val="24"/>
              </w:rPr>
              <w:t>X</w:t>
            </w:r>
            <w:r w:rsidRPr="005C3A14">
              <w:rPr>
                <w:rFonts w:asciiTheme="majorBidi" w:hAnsiTheme="majorBidi" w:cstheme="majorBidi"/>
                <w:sz w:val="24"/>
                <w:szCs w:val="24"/>
                <w:vertAlign w:val="subscript"/>
              </w:rPr>
              <w:t>3</w:t>
            </w:r>
          </w:p>
        </w:tc>
        <w:tc>
          <w:tcPr>
            <w:tcW w:w="2003" w:type="dxa"/>
            <w:tcBorders>
              <w:top w:val="double" w:sz="4" w:space="0" w:color="auto"/>
              <w:right w:val="double" w:sz="4" w:space="0" w:color="auto"/>
            </w:tcBorders>
          </w:tcPr>
          <w:p w:rsidR="009E3D45" w:rsidRPr="005C3A14" w:rsidRDefault="009E3D45" w:rsidP="008C3239">
            <w:pPr>
              <w:autoSpaceDE w:val="0"/>
              <w:autoSpaceDN w:val="0"/>
              <w:adjustRightInd w:val="0"/>
              <w:spacing w:line="360" w:lineRule="auto"/>
              <w:jc w:val="center"/>
              <w:rPr>
                <w:rFonts w:asciiTheme="majorBidi" w:hAnsiTheme="majorBidi" w:cstheme="majorBidi"/>
                <w:sz w:val="24"/>
                <w:szCs w:val="24"/>
                <w:vertAlign w:val="subscript"/>
              </w:rPr>
            </w:pPr>
            <w:r w:rsidRPr="005C3A14">
              <w:rPr>
                <w:rFonts w:asciiTheme="majorBidi" w:hAnsiTheme="majorBidi" w:cstheme="majorBidi"/>
                <w:sz w:val="24"/>
                <w:szCs w:val="24"/>
              </w:rPr>
              <w:t>X</w:t>
            </w:r>
            <w:r w:rsidRPr="005C3A14">
              <w:rPr>
                <w:rFonts w:asciiTheme="majorBidi" w:hAnsiTheme="majorBidi" w:cstheme="majorBidi"/>
                <w:sz w:val="24"/>
                <w:szCs w:val="24"/>
                <w:vertAlign w:val="subscript"/>
              </w:rPr>
              <w:t>4</w:t>
            </w:r>
          </w:p>
        </w:tc>
      </w:tr>
      <w:tr w:rsidR="009E3D45" w:rsidRPr="005C3A14" w:rsidTr="00185C4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tblPrEx>
        <w:trPr>
          <w:trHeight w:val="1440"/>
          <w:jc w:val="center"/>
        </w:trPr>
        <w:tc>
          <w:tcPr>
            <w:tcW w:w="1620" w:type="dxa"/>
            <w:tcBorders>
              <w:top w:val="single" w:sz="4" w:space="0" w:color="auto"/>
              <w:left w:val="double" w:sz="4" w:space="0" w:color="auto"/>
              <w:bottom w:val="double" w:sz="4" w:space="0" w:color="auto"/>
              <w:right w:val="single" w:sz="4" w:space="0" w:color="auto"/>
            </w:tcBorders>
            <w:shd w:val="clear" w:color="auto" w:fill="auto"/>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Longitude</w:t>
            </w:r>
          </w:p>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De  Greenwich</w:t>
            </w:r>
          </w:p>
        </w:tc>
        <w:tc>
          <w:tcPr>
            <w:tcW w:w="1880" w:type="dxa"/>
            <w:tcBorders>
              <w:left w:val="single" w:sz="4" w:space="0" w:color="auto"/>
              <w:bottom w:val="double" w:sz="4" w:space="0" w:color="auto"/>
              <w:right w:val="single" w:sz="4" w:space="0" w:color="auto"/>
            </w:tcBorders>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 xml:space="preserve"> 4G81'60"</w:t>
            </w:r>
          </w:p>
        </w:tc>
        <w:tc>
          <w:tcPr>
            <w:tcW w:w="1761" w:type="dxa"/>
            <w:gridSpan w:val="2"/>
            <w:tcBorders>
              <w:left w:val="single" w:sz="4" w:space="0" w:color="auto"/>
              <w:bottom w:val="double" w:sz="4" w:space="0" w:color="auto"/>
              <w:right w:val="single" w:sz="4" w:space="0" w:color="auto"/>
            </w:tcBorders>
          </w:tcPr>
          <w:p w:rsidR="009E3D45" w:rsidRPr="005C3A14" w:rsidRDefault="009E3D45" w:rsidP="008C3239">
            <w:pPr>
              <w:autoSpaceDE w:val="0"/>
              <w:autoSpaceDN w:val="0"/>
              <w:adjustRightInd w:val="0"/>
              <w:spacing w:line="360" w:lineRule="auto"/>
              <w:ind w:left="50"/>
              <w:jc w:val="both"/>
              <w:rPr>
                <w:rFonts w:asciiTheme="majorBidi" w:hAnsiTheme="majorBidi" w:cstheme="majorBidi"/>
                <w:sz w:val="24"/>
                <w:szCs w:val="24"/>
              </w:rPr>
            </w:pPr>
            <w:r w:rsidRPr="005C3A14">
              <w:rPr>
                <w:rFonts w:asciiTheme="majorBidi" w:hAnsiTheme="majorBidi" w:cstheme="majorBidi"/>
                <w:sz w:val="24"/>
                <w:szCs w:val="24"/>
              </w:rPr>
              <w:t xml:space="preserve"> 4G54'44"</w:t>
            </w:r>
          </w:p>
        </w:tc>
        <w:tc>
          <w:tcPr>
            <w:tcW w:w="2796" w:type="dxa"/>
            <w:tcBorders>
              <w:left w:val="single" w:sz="4" w:space="0" w:color="auto"/>
              <w:bottom w:val="double" w:sz="4" w:space="0" w:color="auto"/>
              <w:right w:val="single" w:sz="4" w:space="0" w:color="auto"/>
            </w:tcBorders>
          </w:tcPr>
          <w:p w:rsidR="009E3D45" w:rsidRPr="005C3A14" w:rsidRDefault="009E3D45" w:rsidP="008C3239">
            <w:pPr>
              <w:autoSpaceDE w:val="0"/>
              <w:autoSpaceDN w:val="0"/>
              <w:adjustRightInd w:val="0"/>
              <w:spacing w:line="360" w:lineRule="auto"/>
              <w:ind w:left="10"/>
              <w:jc w:val="both"/>
              <w:rPr>
                <w:rFonts w:asciiTheme="majorBidi" w:hAnsiTheme="majorBidi" w:cstheme="majorBidi"/>
                <w:sz w:val="24"/>
                <w:szCs w:val="24"/>
              </w:rPr>
            </w:pPr>
            <w:r w:rsidRPr="005C3A14">
              <w:rPr>
                <w:rFonts w:asciiTheme="majorBidi" w:hAnsiTheme="majorBidi" w:cstheme="majorBidi"/>
                <w:sz w:val="24"/>
                <w:szCs w:val="24"/>
              </w:rPr>
              <w:t>4G49'39"</w:t>
            </w:r>
          </w:p>
        </w:tc>
        <w:tc>
          <w:tcPr>
            <w:tcW w:w="2010" w:type="dxa"/>
            <w:gridSpan w:val="2"/>
            <w:tcBorders>
              <w:left w:val="single" w:sz="4" w:space="0" w:color="auto"/>
              <w:bottom w:val="double" w:sz="4" w:space="0" w:color="auto"/>
              <w:right w:val="double" w:sz="4" w:space="0" w:color="auto"/>
            </w:tcBorders>
          </w:tcPr>
          <w:p w:rsidR="009E3D45" w:rsidRPr="005C3A14" w:rsidRDefault="009E3D45" w:rsidP="008C3239">
            <w:pPr>
              <w:autoSpaceDE w:val="0"/>
              <w:autoSpaceDN w:val="0"/>
              <w:adjustRightInd w:val="0"/>
              <w:spacing w:line="360" w:lineRule="auto"/>
              <w:jc w:val="both"/>
              <w:rPr>
                <w:rFonts w:asciiTheme="majorBidi" w:hAnsiTheme="majorBidi" w:cstheme="majorBidi"/>
                <w:sz w:val="24"/>
                <w:szCs w:val="24"/>
              </w:rPr>
            </w:pPr>
            <w:r w:rsidRPr="005C3A14">
              <w:rPr>
                <w:rFonts w:asciiTheme="majorBidi" w:hAnsiTheme="majorBidi" w:cstheme="majorBidi"/>
                <w:sz w:val="24"/>
                <w:szCs w:val="24"/>
              </w:rPr>
              <w:t xml:space="preserve"> 4G1'15" </w:t>
            </w:r>
          </w:p>
        </w:tc>
      </w:tr>
    </w:tbl>
    <w:p w:rsidR="009E3D45" w:rsidRPr="005C3A14" w:rsidRDefault="009E3D45" w:rsidP="009E3D45">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 Ainsi que :</w:t>
      </w:r>
    </w:p>
    <w:p w:rsidR="009E3D45" w:rsidRPr="005C3A14" w:rsidRDefault="009E3D45" w:rsidP="009E3D45">
      <w:pPr>
        <w:autoSpaceDE w:val="0"/>
        <w:autoSpaceDN w:val="0"/>
        <w:adjustRightInd w:val="0"/>
        <w:spacing w:after="0" w:line="360" w:lineRule="auto"/>
        <w:jc w:val="both"/>
        <w:rPr>
          <w:rFonts w:asciiTheme="majorBidi" w:hAnsiTheme="majorBidi" w:cstheme="majorBidi"/>
          <w:sz w:val="24"/>
          <w:szCs w:val="24"/>
        </w:rPr>
      </w:pPr>
    </w:p>
    <w:tbl>
      <w:tblPr>
        <w:tblpPr w:leftFromText="141" w:rightFromText="141" w:vertAnchor="text" w:horzAnchor="margin" w:tblpXSpec="center" w:tblpY="-40"/>
        <w:tblW w:w="966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tblPr>
      <w:tblGrid>
        <w:gridCol w:w="1352"/>
        <w:gridCol w:w="15"/>
        <w:gridCol w:w="1845"/>
        <w:gridCol w:w="1845"/>
        <w:gridCol w:w="2760"/>
        <w:gridCol w:w="1845"/>
      </w:tblGrid>
      <w:tr w:rsidR="009E3D45" w:rsidRPr="005C3A14" w:rsidTr="00185C42">
        <w:trPr>
          <w:gridBefore w:val="2"/>
          <w:wBefore w:w="1367" w:type="dxa"/>
          <w:trHeight w:val="838"/>
        </w:trPr>
        <w:tc>
          <w:tcPr>
            <w:tcW w:w="1845"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sz w:val="24"/>
                <w:szCs w:val="24"/>
                <w:vertAlign w:val="subscript"/>
              </w:rPr>
            </w:pPr>
            <w:r w:rsidRPr="005C3A14">
              <w:rPr>
                <w:rFonts w:asciiTheme="majorBidi" w:hAnsiTheme="majorBidi" w:cstheme="majorBidi"/>
                <w:b/>
                <w:bCs/>
                <w:sz w:val="24"/>
                <w:szCs w:val="24"/>
              </w:rPr>
              <w:t>Y</w:t>
            </w:r>
            <w:r w:rsidRPr="005C3A14">
              <w:rPr>
                <w:rFonts w:asciiTheme="majorBidi" w:hAnsiTheme="majorBidi" w:cstheme="majorBidi"/>
                <w:b/>
                <w:bCs/>
                <w:sz w:val="24"/>
                <w:szCs w:val="24"/>
                <w:vertAlign w:val="subscript"/>
              </w:rPr>
              <w:t>1</w:t>
            </w:r>
          </w:p>
        </w:tc>
        <w:tc>
          <w:tcPr>
            <w:tcW w:w="1845"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sz w:val="24"/>
                <w:szCs w:val="24"/>
                <w:vertAlign w:val="subscript"/>
              </w:rPr>
            </w:pPr>
            <w:r w:rsidRPr="005C3A14">
              <w:rPr>
                <w:rFonts w:asciiTheme="majorBidi" w:hAnsiTheme="majorBidi" w:cstheme="majorBidi"/>
                <w:b/>
                <w:bCs/>
                <w:sz w:val="24"/>
                <w:szCs w:val="24"/>
              </w:rPr>
              <w:t>Y</w:t>
            </w:r>
            <w:r w:rsidRPr="005C3A14">
              <w:rPr>
                <w:rFonts w:asciiTheme="majorBidi" w:hAnsiTheme="majorBidi" w:cstheme="majorBidi"/>
                <w:b/>
                <w:bCs/>
                <w:sz w:val="24"/>
                <w:szCs w:val="24"/>
                <w:vertAlign w:val="subscript"/>
              </w:rPr>
              <w:t>2</w:t>
            </w:r>
          </w:p>
        </w:tc>
        <w:tc>
          <w:tcPr>
            <w:tcW w:w="2760"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color w:val="000000" w:themeColor="text1"/>
                <w:sz w:val="24"/>
                <w:szCs w:val="24"/>
                <w:vertAlign w:val="subscript"/>
              </w:rPr>
            </w:pPr>
            <w:r w:rsidRPr="005C3A14">
              <w:rPr>
                <w:rFonts w:asciiTheme="majorBidi" w:hAnsiTheme="majorBidi" w:cstheme="majorBidi"/>
                <w:b/>
                <w:bCs/>
                <w:color w:val="000000" w:themeColor="text1"/>
                <w:sz w:val="24"/>
                <w:szCs w:val="24"/>
              </w:rPr>
              <w:t>Y</w:t>
            </w:r>
            <w:r w:rsidRPr="005C3A14">
              <w:rPr>
                <w:rFonts w:asciiTheme="majorBidi" w:hAnsiTheme="majorBidi" w:cstheme="majorBidi"/>
                <w:b/>
                <w:bCs/>
                <w:color w:val="000000" w:themeColor="text1"/>
                <w:sz w:val="24"/>
                <w:szCs w:val="24"/>
                <w:vertAlign w:val="subscript"/>
              </w:rPr>
              <w:t>3</w:t>
            </w:r>
          </w:p>
        </w:tc>
        <w:tc>
          <w:tcPr>
            <w:tcW w:w="1845"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sz w:val="24"/>
                <w:szCs w:val="24"/>
                <w:vertAlign w:val="subscript"/>
              </w:rPr>
            </w:pPr>
            <w:r w:rsidRPr="005C3A14">
              <w:rPr>
                <w:rFonts w:asciiTheme="majorBidi" w:hAnsiTheme="majorBidi" w:cstheme="majorBidi"/>
                <w:b/>
                <w:bCs/>
                <w:sz w:val="24"/>
                <w:szCs w:val="24"/>
              </w:rPr>
              <w:t>Y</w:t>
            </w:r>
            <w:r w:rsidRPr="005C3A14">
              <w:rPr>
                <w:rFonts w:asciiTheme="majorBidi" w:hAnsiTheme="majorBidi" w:cstheme="majorBidi"/>
                <w:b/>
                <w:bCs/>
                <w:sz w:val="24"/>
                <w:szCs w:val="24"/>
                <w:vertAlign w:val="subscript"/>
              </w:rPr>
              <w:t>4</w:t>
            </w:r>
          </w:p>
        </w:tc>
      </w:tr>
      <w:tr w:rsidR="009E3D45" w:rsidRPr="005C3A14" w:rsidTr="00185C42">
        <w:trPr>
          <w:trHeight w:val="1470"/>
        </w:trPr>
        <w:tc>
          <w:tcPr>
            <w:tcW w:w="1352" w:type="dxa"/>
          </w:tcPr>
          <w:p w:rsidR="009E3D45" w:rsidRPr="005C3A14" w:rsidRDefault="009E3D45" w:rsidP="008C3239">
            <w:pPr>
              <w:autoSpaceDE w:val="0"/>
              <w:autoSpaceDN w:val="0"/>
              <w:adjustRightInd w:val="0"/>
              <w:spacing w:line="360" w:lineRule="auto"/>
              <w:jc w:val="both"/>
              <w:rPr>
                <w:rFonts w:asciiTheme="majorBidi" w:hAnsiTheme="majorBidi" w:cstheme="majorBidi"/>
                <w:b/>
                <w:bCs/>
                <w:color w:val="548DD4"/>
                <w:sz w:val="24"/>
                <w:szCs w:val="24"/>
              </w:rPr>
            </w:pPr>
            <w:r w:rsidRPr="005C3A14">
              <w:rPr>
                <w:rFonts w:asciiTheme="majorBidi" w:hAnsiTheme="majorBidi" w:cstheme="majorBidi"/>
                <w:b/>
                <w:bCs/>
                <w:sz w:val="24"/>
                <w:szCs w:val="24"/>
              </w:rPr>
              <w:t>latitude</w:t>
            </w:r>
          </w:p>
        </w:tc>
        <w:tc>
          <w:tcPr>
            <w:tcW w:w="1860" w:type="dxa"/>
            <w:gridSpan w:val="2"/>
          </w:tcPr>
          <w:p w:rsidR="009E3D45" w:rsidRPr="005C3A14" w:rsidRDefault="009E3D45" w:rsidP="008C3239">
            <w:pPr>
              <w:autoSpaceDE w:val="0"/>
              <w:autoSpaceDN w:val="0"/>
              <w:adjustRightInd w:val="0"/>
              <w:spacing w:line="360" w:lineRule="auto"/>
              <w:jc w:val="center"/>
              <w:rPr>
                <w:rFonts w:asciiTheme="majorBidi" w:hAnsiTheme="majorBidi" w:cstheme="majorBidi"/>
                <w:b/>
                <w:bCs/>
                <w:color w:val="548DD4"/>
                <w:sz w:val="24"/>
                <w:szCs w:val="24"/>
              </w:rPr>
            </w:pPr>
            <w:r w:rsidRPr="005C3A14">
              <w:rPr>
                <w:rFonts w:asciiTheme="majorBidi" w:hAnsiTheme="majorBidi" w:cstheme="majorBidi"/>
                <w:sz w:val="24"/>
                <w:szCs w:val="24"/>
              </w:rPr>
              <w:t>39G25'23"</w:t>
            </w:r>
          </w:p>
        </w:tc>
        <w:tc>
          <w:tcPr>
            <w:tcW w:w="1845"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color w:val="548DD4"/>
                <w:sz w:val="24"/>
                <w:szCs w:val="24"/>
              </w:rPr>
            </w:pPr>
            <w:r w:rsidRPr="005C3A14">
              <w:rPr>
                <w:rFonts w:asciiTheme="majorBidi" w:hAnsiTheme="majorBidi" w:cstheme="majorBidi"/>
                <w:sz w:val="24"/>
                <w:szCs w:val="24"/>
              </w:rPr>
              <w:t>39G29'65"</w:t>
            </w:r>
          </w:p>
        </w:tc>
        <w:tc>
          <w:tcPr>
            <w:tcW w:w="2760" w:type="dxa"/>
          </w:tcPr>
          <w:p w:rsidR="009E3D45" w:rsidRPr="005C3A14" w:rsidRDefault="009E3D45" w:rsidP="008C3239">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 xml:space="preserve">       38G96'30"</w:t>
            </w:r>
          </w:p>
          <w:p w:rsidR="009E3D45" w:rsidRPr="005C3A14" w:rsidRDefault="009E3D45" w:rsidP="008C3239">
            <w:pPr>
              <w:autoSpaceDE w:val="0"/>
              <w:autoSpaceDN w:val="0"/>
              <w:adjustRightInd w:val="0"/>
              <w:spacing w:line="360" w:lineRule="auto"/>
              <w:jc w:val="center"/>
              <w:rPr>
                <w:rFonts w:asciiTheme="majorBidi" w:hAnsiTheme="majorBidi" w:cstheme="majorBidi"/>
                <w:b/>
                <w:bCs/>
                <w:color w:val="548DD4"/>
                <w:sz w:val="24"/>
                <w:szCs w:val="24"/>
              </w:rPr>
            </w:pPr>
          </w:p>
        </w:tc>
        <w:tc>
          <w:tcPr>
            <w:tcW w:w="1845" w:type="dxa"/>
          </w:tcPr>
          <w:p w:rsidR="009E3D45" w:rsidRPr="005C3A14" w:rsidRDefault="009E3D45" w:rsidP="008C3239">
            <w:pPr>
              <w:autoSpaceDE w:val="0"/>
              <w:autoSpaceDN w:val="0"/>
              <w:adjustRightInd w:val="0"/>
              <w:spacing w:line="360" w:lineRule="auto"/>
              <w:jc w:val="center"/>
              <w:rPr>
                <w:rFonts w:asciiTheme="majorBidi" w:hAnsiTheme="majorBidi" w:cstheme="majorBidi"/>
                <w:b/>
                <w:bCs/>
                <w:color w:val="548DD4"/>
                <w:sz w:val="24"/>
                <w:szCs w:val="24"/>
              </w:rPr>
            </w:pPr>
            <w:r w:rsidRPr="005C3A14">
              <w:rPr>
                <w:rFonts w:asciiTheme="majorBidi" w:hAnsiTheme="majorBidi" w:cstheme="majorBidi"/>
                <w:sz w:val="24"/>
                <w:szCs w:val="24"/>
              </w:rPr>
              <w:t>38G77'85"</w:t>
            </w:r>
          </w:p>
        </w:tc>
      </w:tr>
    </w:tbl>
    <w:p w:rsidR="009E3D45" w:rsidRPr="005C3A14" w:rsidRDefault="009E3D45" w:rsidP="009E3D45">
      <w:pPr>
        <w:rPr>
          <w:rFonts w:asciiTheme="majorBidi" w:hAnsiTheme="majorBidi" w:cstheme="majorBidi"/>
          <w:noProof/>
          <w:sz w:val="24"/>
          <w:szCs w:val="24"/>
        </w:rPr>
      </w:pPr>
    </w:p>
    <w:p w:rsidR="009E3D45" w:rsidRPr="005C3A14" w:rsidRDefault="009E3D45" w:rsidP="009E3D45">
      <w:pPr>
        <w:rPr>
          <w:rFonts w:asciiTheme="majorBidi" w:hAnsiTheme="majorBidi" w:cstheme="majorBidi"/>
          <w:noProof/>
          <w:sz w:val="24"/>
          <w:szCs w:val="24"/>
        </w:rPr>
      </w:pPr>
    </w:p>
    <w:p w:rsidR="009E3D45" w:rsidRPr="005C3A14" w:rsidRDefault="009E3D45" w:rsidP="009E3D45">
      <w:pPr>
        <w:rPr>
          <w:rFonts w:asciiTheme="majorBidi" w:hAnsiTheme="majorBidi" w:cstheme="majorBidi"/>
          <w:sz w:val="24"/>
          <w:szCs w:val="24"/>
        </w:rPr>
      </w:pPr>
      <w:r w:rsidRPr="005C3A14">
        <w:rPr>
          <w:rFonts w:asciiTheme="majorBidi" w:hAnsiTheme="majorBidi" w:cstheme="majorBidi"/>
          <w:noProof/>
          <w:sz w:val="24"/>
          <w:szCs w:val="24"/>
        </w:rPr>
        <w:drawing>
          <wp:inline distT="0" distB="0" distL="0" distR="0">
            <wp:extent cx="6300000" cy="3917942"/>
            <wp:effectExtent l="19050" t="0" r="5550" b="0"/>
            <wp:docPr id="5" name="Image 1" descr="C:\Users\MAISON XP\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Desktop\Sans titre.png"/>
                    <pic:cNvPicPr>
                      <a:picLocks noChangeAspect="1" noChangeArrowheads="1"/>
                    </pic:cNvPicPr>
                  </pic:nvPicPr>
                  <pic:blipFill>
                    <a:blip r:embed="rId10"/>
                    <a:srcRect/>
                    <a:stretch>
                      <a:fillRect/>
                    </a:stretch>
                  </pic:blipFill>
                  <pic:spPr bwMode="auto">
                    <a:xfrm>
                      <a:off x="0" y="0"/>
                      <a:ext cx="6300000" cy="3917942"/>
                    </a:xfrm>
                    <a:prstGeom prst="rect">
                      <a:avLst/>
                    </a:prstGeom>
                    <a:noFill/>
                    <a:ln w="9525">
                      <a:noFill/>
                      <a:miter lim="800000"/>
                      <a:headEnd/>
                      <a:tailEnd/>
                    </a:ln>
                  </pic:spPr>
                </pic:pic>
              </a:graphicData>
            </a:graphic>
          </wp:inline>
        </w:drawing>
      </w:r>
    </w:p>
    <w:p w:rsidR="00185C42" w:rsidRDefault="00185C42" w:rsidP="009E3D45">
      <w:pPr>
        <w:jc w:val="center"/>
        <w:rPr>
          <w:rFonts w:asciiTheme="majorBidi" w:hAnsiTheme="majorBidi" w:cstheme="majorBidi"/>
          <w:b/>
          <w:bCs/>
          <w:sz w:val="24"/>
          <w:szCs w:val="24"/>
        </w:rPr>
      </w:pPr>
    </w:p>
    <w:p w:rsidR="009E3D45" w:rsidRPr="00F85770" w:rsidRDefault="009E3D45" w:rsidP="00F85770">
      <w:pPr>
        <w:jc w:val="center"/>
        <w:rPr>
          <w:rFonts w:asciiTheme="majorBidi" w:hAnsiTheme="majorBidi" w:cstheme="majorBidi"/>
          <w:b/>
          <w:bCs/>
        </w:rPr>
      </w:pPr>
      <w:r w:rsidRPr="00185C42">
        <w:rPr>
          <w:rFonts w:asciiTheme="majorBidi" w:hAnsiTheme="majorBidi" w:cstheme="majorBidi"/>
          <w:b/>
          <w:bCs/>
        </w:rPr>
        <w:t>Figure (</w:t>
      </w:r>
      <w:r w:rsidR="007C4A9B" w:rsidRPr="007C4A9B">
        <w:rPr>
          <w:rFonts w:asciiTheme="majorBidi" w:eastAsiaTheme="majorEastAsia" w:hAnsiTheme="majorBidi" w:cstheme="majorBidi"/>
          <w:b/>
          <w:bCs/>
        </w:rPr>
        <w:t>I</w:t>
      </w:r>
      <w:r w:rsidR="007C4A9B">
        <w:rPr>
          <w:rFonts w:asciiTheme="majorBidi" w:eastAsiaTheme="majorEastAsia" w:hAnsiTheme="majorBidi" w:cstheme="majorBidi"/>
          <w:b/>
          <w:bCs/>
          <w:sz w:val="24"/>
          <w:szCs w:val="24"/>
        </w:rPr>
        <w:t>.</w:t>
      </w:r>
      <w:r w:rsidRPr="00185C42">
        <w:rPr>
          <w:rFonts w:asciiTheme="majorBidi" w:hAnsiTheme="majorBidi" w:cstheme="majorBidi"/>
          <w:b/>
          <w:bCs/>
        </w:rPr>
        <w:t>II.2) : Présentation du bassin versant Oued el Abiod</w:t>
      </w:r>
    </w:p>
    <w:p w:rsidR="009E3D45" w:rsidRPr="005C3A14" w:rsidRDefault="00AC533E" w:rsidP="009E3D45">
      <w:pPr>
        <w:spacing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Pr>
          <w:rFonts w:asciiTheme="majorBidi" w:hAnsiTheme="majorBidi" w:cstheme="majorBidi"/>
          <w:b/>
          <w:bCs/>
          <w:sz w:val="24"/>
          <w:szCs w:val="24"/>
        </w:rPr>
        <w:t>II.3</w:t>
      </w:r>
      <w:r w:rsidR="009E3D45" w:rsidRPr="005C3A14">
        <w:rPr>
          <w:rFonts w:asciiTheme="majorBidi" w:hAnsiTheme="majorBidi" w:cstheme="majorBidi"/>
          <w:b/>
          <w:bCs/>
          <w:sz w:val="24"/>
          <w:szCs w:val="24"/>
        </w:rPr>
        <w:t>- Couvert végétal :</w:t>
      </w:r>
    </w:p>
    <w:p w:rsidR="009E3D45" w:rsidRPr="005C3A14" w:rsidRDefault="009E3D45" w:rsidP="00185C42">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La végétation joue un rôle essentiel dans la protection du sol. Elle exerce une protection mécanique directe sur l’écoulement fluviale, en diminuant la force vive des eaux et en favorisant leur infiltration. Cette résistance à l’écoulement est d’autant plus grande que le couvert végétal est plus dense. Elle fournit une quantité appréciable d’humus qui joue le rôle de ciment et maintient la structure en grumeaux. Enfin elle donne de l’ombre, ce qui conserve l’humidité et l’activité biologique nécessaire à l’équilibre du sol. L’infiltration en profondeur est facilitée par les fissurations préparées, au sein du sol, par le réseau des racines.</w:t>
      </w:r>
    </w:p>
    <w:p w:rsidR="009E3D45" w:rsidRPr="005C3A14" w:rsidRDefault="009E3D45" w:rsidP="009E3D45">
      <w:pPr>
        <w:autoSpaceDE w:val="0"/>
        <w:autoSpaceDN w:val="0"/>
        <w:adjustRightInd w:val="0"/>
        <w:spacing w:after="0" w:line="360" w:lineRule="auto"/>
        <w:ind w:firstLine="708"/>
        <w:jc w:val="both"/>
        <w:rPr>
          <w:rFonts w:asciiTheme="majorBidi" w:hAnsiTheme="majorBidi" w:cstheme="majorBidi"/>
          <w:sz w:val="24"/>
          <w:szCs w:val="24"/>
        </w:rPr>
      </w:pPr>
      <w:r w:rsidRPr="005C3A14">
        <w:rPr>
          <w:rFonts w:asciiTheme="majorBidi" w:hAnsiTheme="majorBidi" w:cstheme="majorBidi"/>
          <w:sz w:val="24"/>
          <w:szCs w:val="24"/>
        </w:rPr>
        <w:t>Après saturation des sols les eaux qui ruissellent rencontrent des obstacles qui les obligent à ralentir leur vitesse, l’ensemble se traduit par un large étalement des crues. La régularisation des régimes des sources et des rivières, le maintient des matériaux sur les pentes.</w:t>
      </w:r>
    </w:p>
    <w:p w:rsidR="009E3D45" w:rsidRPr="005C3A14" w:rsidRDefault="009E3D45" w:rsidP="00185C42">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lastRenderedPageBreak/>
        <w:t>Les formations végétales protègent donc le sol, mais n’empêchent pas totalement l’érosion dite naturelle. Elle est toujours très faible. Le paysage végétal du bassin d’Oued El- Abiod a été largement dégradé et défraîchi en montagne. Le taux de boisement est estimé à 50%. L’effet dévastateur du aux conséquences de la guerre d’indépendance est à signaler. Les belles forêts sont localisées sur le versant Nord entre 1600m et 2000m composé de cèdre sur 1400ha environ. Le reste de la surface boisée se partage entre chêne vert pin d’Alep, plus particulièrement entre 1400m et 1000m, quant aux basses vallées elles opposent déjà leurs rubans de palmeraies aménagés en terrasses à la nudité du Désert, le jardinage des oasis est associé à d’autre pratiques culturales notamment, la céréaliculture dont l’irrigation est assurée par des dérivations de l’Oued et d’épandage de crues.</w:t>
      </w:r>
    </w:p>
    <w:p w:rsidR="009E3D45" w:rsidRPr="005C3A14" w:rsidRDefault="009E3D45" w:rsidP="009E3D45">
      <w:pPr>
        <w:spacing w:line="360" w:lineRule="auto"/>
        <w:jc w:val="both"/>
        <w:rPr>
          <w:rFonts w:asciiTheme="majorBidi" w:hAnsiTheme="majorBidi" w:cstheme="majorBidi"/>
          <w:b/>
          <w:bCs/>
          <w:sz w:val="24"/>
          <w:szCs w:val="24"/>
        </w:rPr>
      </w:pPr>
    </w:p>
    <w:p w:rsidR="009E3D45" w:rsidRPr="005C3A14" w:rsidRDefault="00185C42" w:rsidP="009E3D45">
      <w:pPr>
        <w:tabs>
          <w:tab w:val="left" w:pos="2265"/>
        </w:tabs>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1312" behindDoc="0" locked="0" layoutInCell="1" allowOverlap="1">
            <wp:simplePos x="0" y="0"/>
            <wp:positionH relativeFrom="column">
              <wp:posOffset>23495</wp:posOffset>
            </wp:positionH>
            <wp:positionV relativeFrom="paragraph">
              <wp:posOffset>149860</wp:posOffset>
            </wp:positionV>
            <wp:extent cx="5753100" cy="4667250"/>
            <wp:effectExtent l="19050" t="0" r="0" b="0"/>
            <wp:wrapSquare wrapText="bothSides"/>
            <wp:docPr id="13" name="Image 4" descr="E:\mmm\IMAGES\GEOLOGIE\COU VE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mm\IMAGES\GEOLOGIE\COU VEGE.png"/>
                    <pic:cNvPicPr>
                      <a:picLocks noChangeAspect="1" noChangeArrowheads="1"/>
                    </pic:cNvPicPr>
                  </pic:nvPicPr>
                  <pic:blipFill>
                    <a:blip r:embed="rId11"/>
                    <a:srcRect/>
                    <a:stretch>
                      <a:fillRect/>
                    </a:stretch>
                  </pic:blipFill>
                  <pic:spPr bwMode="auto">
                    <a:xfrm>
                      <a:off x="0" y="0"/>
                      <a:ext cx="5753100" cy="4667250"/>
                    </a:xfrm>
                    <a:prstGeom prst="rect">
                      <a:avLst/>
                    </a:prstGeom>
                    <a:noFill/>
                    <a:ln w="9525">
                      <a:noFill/>
                      <a:miter lim="800000"/>
                      <a:headEnd/>
                      <a:tailEnd/>
                    </a:ln>
                  </pic:spPr>
                </pic:pic>
              </a:graphicData>
            </a:graphic>
          </wp:anchor>
        </w:drawing>
      </w:r>
      <w:r w:rsidR="009E3D45" w:rsidRPr="005C3A14">
        <w:rPr>
          <w:rFonts w:asciiTheme="majorBidi" w:hAnsiTheme="majorBidi" w:cstheme="majorBidi"/>
          <w:sz w:val="24"/>
          <w:szCs w:val="24"/>
        </w:rPr>
        <w:tab/>
      </w:r>
    </w:p>
    <w:p w:rsidR="009E3D45" w:rsidRDefault="009E3D45" w:rsidP="00185C42">
      <w:pPr>
        <w:tabs>
          <w:tab w:val="left" w:pos="2265"/>
        </w:tabs>
        <w:jc w:val="center"/>
        <w:rPr>
          <w:rFonts w:asciiTheme="majorBidi" w:hAnsiTheme="majorBidi" w:cstheme="majorBidi"/>
          <w:b/>
          <w:bCs/>
          <w:sz w:val="24"/>
          <w:szCs w:val="24"/>
        </w:rPr>
      </w:pPr>
      <w:r w:rsidRPr="007C4A9B">
        <w:rPr>
          <w:rFonts w:asciiTheme="majorBidi" w:hAnsiTheme="majorBidi" w:cstheme="majorBidi"/>
          <w:b/>
          <w:bCs/>
        </w:rPr>
        <w:t>Figure (</w:t>
      </w:r>
      <w:r w:rsidR="007C4A9B" w:rsidRPr="007C4A9B">
        <w:rPr>
          <w:rFonts w:asciiTheme="majorBidi" w:eastAsiaTheme="majorEastAsia" w:hAnsiTheme="majorBidi" w:cstheme="majorBidi"/>
          <w:b/>
          <w:bCs/>
        </w:rPr>
        <w:t>I.</w:t>
      </w:r>
      <w:r w:rsidRPr="007C4A9B">
        <w:rPr>
          <w:rFonts w:asciiTheme="majorBidi" w:hAnsiTheme="majorBidi" w:cstheme="majorBidi"/>
          <w:b/>
          <w:bCs/>
        </w:rPr>
        <w:t>II.3</w:t>
      </w:r>
      <w:r w:rsidRPr="005C3A14">
        <w:rPr>
          <w:rFonts w:asciiTheme="majorBidi" w:hAnsiTheme="majorBidi" w:cstheme="majorBidi"/>
          <w:b/>
          <w:bCs/>
          <w:sz w:val="24"/>
          <w:szCs w:val="24"/>
        </w:rPr>
        <w:t>) : Carte d'occupation du sol dans le bassin versant.              (source : Haoues )</w:t>
      </w:r>
    </w:p>
    <w:p w:rsidR="007C4A9B" w:rsidRDefault="007C4A9B" w:rsidP="00185C42">
      <w:pPr>
        <w:tabs>
          <w:tab w:val="left" w:pos="2265"/>
        </w:tabs>
        <w:jc w:val="center"/>
        <w:rPr>
          <w:rFonts w:asciiTheme="majorBidi" w:hAnsiTheme="majorBidi" w:cstheme="majorBidi"/>
          <w:b/>
          <w:bCs/>
          <w:sz w:val="24"/>
          <w:szCs w:val="24"/>
        </w:rPr>
      </w:pPr>
    </w:p>
    <w:p w:rsidR="007C4A9B" w:rsidRPr="005C3A14" w:rsidRDefault="007C4A9B" w:rsidP="00185C42">
      <w:pPr>
        <w:tabs>
          <w:tab w:val="left" w:pos="2265"/>
        </w:tabs>
        <w:jc w:val="center"/>
        <w:rPr>
          <w:rFonts w:asciiTheme="majorBidi" w:hAnsiTheme="majorBidi" w:cstheme="majorBidi"/>
          <w:b/>
          <w:bCs/>
          <w:sz w:val="24"/>
          <w:szCs w:val="24"/>
        </w:rPr>
      </w:pPr>
    </w:p>
    <w:p w:rsidR="009E3D45" w:rsidRDefault="00185C42" w:rsidP="009E3D45">
      <w:pPr>
        <w:tabs>
          <w:tab w:val="left" w:pos="2265"/>
        </w:tabs>
        <w:rPr>
          <w:rFonts w:asciiTheme="majorBidi" w:hAnsiTheme="majorBidi" w:cstheme="majorBidi"/>
          <w:sz w:val="24"/>
          <w:szCs w:val="24"/>
        </w:rPr>
      </w:pPr>
      <w:r>
        <w:rPr>
          <w:rFonts w:asciiTheme="majorBidi" w:hAnsiTheme="majorBidi" w:cstheme="majorBidi"/>
          <w:sz w:val="24"/>
          <w:szCs w:val="24"/>
        </w:rPr>
        <w:lastRenderedPageBreak/>
        <w:t xml:space="preserve"> </w:t>
      </w:r>
      <w:r w:rsidR="009E3D45" w:rsidRPr="005C3A14">
        <w:rPr>
          <w:rFonts w:asciiTheme="majorBidi" w:hAnsiTheme="majorBidi" w:cstheme="majorBidi"/>
          <w:sz w:val="24"/>
          <w:szCs w:val="24"/>
        </w:rPr>
        <w:t>L’absence du couvert végétal dans certaines zones a favorisé un ruissellement violant et donc l’érosion sera plus ou moins importante. Pour une meilleure évaluation des risques qui menacent notre bassin versant, on à opté pour la division de ce dernier suivant les caractéristiques dominantes et leur influence sur le comportement du bassin versant</w:t>
      </w:r>
    </w:p>
    <w:p w:rsidR="009E3D45" w:rsidRPr="005C3A14" w:rsidRDefault="00AC533E" w:rsidP="009E3D45">
      <w:pPr>
        <w:spacing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Pr>
          <w:rFonts w:asciiTheme="majorBidi" w:hAnsiTheme="majorBidi" w:cstheme="majorBidi"/>
          <w:b/>
          <w:bCs/>
          <w:sz w:val="24"/>
          <w:szCs w:val="24"/>
        </w:rPr>
        <w:t>II.4</w:t>
      </w:r>
      <w:r w:rsidR="009E3D45" w:rsidRPr="005C3A14">
        <w:rPr>
          <w:rFonts w:asciiTheme="majorBidi" w:hAnsiTheme="majorBidi" w:cstheme="majorBidi"/>
          <w:b/>
          <w:bCs/>
          <w:sz w:val="24"/>
          <w:szCs w:val="24"/>
        </w:rPr>
        <w:t>- CADRE GEOLOGIQUE :</w:t>
      </w:r>
    </w:p>
    <w:p w:rsidR="009E3D45" w:rsidRPr="005C3A14" w:rsidRDefault="00185C42" w:rsidP="00185C42">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E3D45" w:rsidRPr="005C3A14">
        <w:rPr>
          <w:rFonts w:asciiTheme="majorBidi" w:hAnsiTheme="majorBidi" w:cstheme="majorBidi"/>
          <w:sz w:val="24"/>
          <w:szCs w:val="24"/>
        </w:rPr>
        <w:t>Le massif des Aurès constitue l’extrémité orientale de la chaîne Atlasique ; séparant ainsi les hautes plaines constantinoises du Sahara. Comportant les plus hauts sommets dans la partie Est du méridien d’Alger. Le plus haut sommet dans ce massif est située à Dj Chélia et exactement à « Irfen’Keltoume » avec une altitude de 2328 m. Limité au nord par le bassin du</w:t>
      </w:r>
    </w:p>
    <w:p w:rsidR="009E3D45" w:rsidRPr="005C3A14" w:rsidRDefault="009E3D45" w:rsidP="009E3D45">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Néogène de Timgad le long d’une ligne qui va de Batna à Khenchela. A l’est les monts de Nememcha qui limitent ce massif sans discontinuité évidente sauf, un abaissement sensible des sommets sans dépasser la côte 1800 m. Au sud la plate forme saharienne, cette limite est bien  marquée par la flexure sud Atlasique. A l’Ouest les deux bassins Néogène le Hodna et son annexe El Outaya. Stratigraphiquement, il est constitué de dépôts détritiques du crétacé inférieur ; des dépôts argilo carbonatés du crétacé supérieur et du jurassique ; les sédiments</w:t>
      </w:r>
    </w:p>
    <w:p w:rsidR="009E3D45" w:rsidRPr="005C3A14" w:rsidRDefault="009E3D45" w:rsidP="009E3D45">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tertiaires sont à dominante carbonatée, du Paléocène jusqu’à l’Eocène moyen, tandis que le Néogène est essentiellement détritique.</w:t>
      </w:r>
    </w:p>
    <w:p w:rsidR="00185C42" w:rsidRDefault="00185C42" w:rsidP="009E3D45">
      <w:pPr>
        <w:autoSpaceDE w:val="0"/>
        <w:autoSpaceDN w:val="0"/>
        <w:adjustRightInd w:val="0"/>
        <w:spacing w:after="0" w:line="360" w:lineRule="auto"/>
        <w:jc w:val="both"/>
        <w:rPr>
          <w:rFonts w:asciiTheme="majorBidi" w:hAnsiTheme="majorBidi" w:cstheme="majorBidi"/>
          <w:sz w:val="24"/>
          <w:szCs w:val="24"/>
        </w:rPr>
      </w:pPr>
    </w:p>
    <w:p w:rsidR="009E3D45" w:rsidRPr="005C3A14" w:rsidRDefault="00AC533E" w:rsidP="00185C42">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Pr>
          <w:rFonts w:asciiTheme="majorBidi" w:hAnsiTheme="majorBidi" w:cstheme="majorBidi"/>
          <w:b/>
          <w:bCs/>
          <w:sz w:val="24"/>
          <w:szCs w:val="24"/>
        </w:rPr>
        <w:t>II.5.</w:t>
      </w:r>
      <w:r w:rsidR="009E3D45" w:rsidRPr="005C3A14">
        <w:rPr>
          <w:rFonts w:asciiTheme="majorBidi" w:hAnsiTheme="majorBidi" w:cstheme="majorBidi"/>
          <w:b/>
          <w:bCs/>
          <w:sz w:val="24"/>
          <w:szCs w:val="24"/>
        </w:rPr>
        <w:t>- STRATIGRAPHIE :</w:t>
      </w:r>
    </w:p>
    <w:p w:rsidR="009E3D45" w:rsidRPr="005C3A14" w:rsidRDefault="009E3D45" w:rsidP="00185C42">
      <w:pPr>
        <w:tabs>
          <w:tab w:val="left" w:pos="2265"/>
        </w:tabs>
        <w:spacing w:line="360" w:lineRule="auto"/>
        <w:rPr>
          <w:rFonts w:asciiTheme="majorBidi" w:hAnsiTheme="majorBidi" w:cstheme="majorBidi"/>
          <w:sz w:val="24"/>
          <w:szCs w:val="24"/>
        </w:rPr>
      </w:pPr>
      <w:r w:rsidRPr="005C3A14">
        <w:rPr>
          <w:rFonts w:asciiTheme="majorBidi" w:hAnsiTheme="majorBidi" w:cstheme="majorBidi"/>
          <w:sz w:val="24"/>
          <w:szCs w:val="24"/>
        </w:rPr>
        <w:t xml:space="preserve">La région d’Oued el Abiod présente une série stratigraphique qui s’échelonne du Jurassique au Quaternaire faisant 6000 m d’épaisseur environs. Le Cénomanien à lui seul fait 1000 m et le Sénonien 2000 m. Selon les travaux de </w:t>
      </w:r>
      <w:r w:rsidRPr="005C3A14">
        <w:rPr>
          <w:rFonts w:asciiTheme="majorBidi" w:hAnsiTheme="majorBidi" w:cstheme="majorBidi"/>
          <w:b/>
          <w:bCs/>
          <w:sz w:val="24"/>
          <w:szCs w:val="24"/>
        </w:rPr>
        <w:t>R.</w:t>
      </w:r>
      <w:r w:rsidRPr="005C3A14">
        <w:rPr>
          <w:rFonts w:asciiTheme="majorBidi" w:hAnsiTheme="majorBidi" w:cstheme="majorBidi"/>
          <w:sz w:val="24"/>
          <w:szCs w:val="24"/>
        </w:rPr>
        <w:t xml:space="preserve"> </w:t>
      </w:r>
      <w:r w:rsidRPr="005C3A14">
        <w:rPr>
          <w:rFonts w:asciiTheme="majorBidi" w:hAnsiTheme="majorBidi" w:cstheme="majorBidi"/>
          <w:b/>
          <w:bCs/>
          <w:sz w:val="24"/>
          <w:szCs w:val="24"/>
        </w:rPr>
        <w:t>LAFFITTE (1939).</w:t>
      </w:r>
    </w:p>
    <w:p w:rsidR="009E3D45" w:rsidRPr="005C3A14" w:rsidRDefault="009E3D45" w:rsidP="00185C42">
      <w:pPr>
        <w:tabs>
          <w:tab w:val="left" w:pos="2265"/>
        </w:tabs>
        <w:spacing w:line="360" w:lineRule="auto"/>
        <w:rPr>
          <w:rFonts w:asciiTheme="majorBidi" w:hAnsiTheme="majorBidi" w:cstheme="majorBidi"/>
          <w:sz w:val="24"/>
          <w:szCs w:val="24"/>
        </w:rPr>
      </w:pPr>
      <w:r w:rsidRPr="005C3A14">
        <w:rPr>
          <w:rFonts w:asciiTheme="majorBidi" w:hAnsiTheme="majorBidi" w:cstheme="majorBidi"/>
          <w:sz w:val="24"/>
          <w:szCs w:val="24"/>
        </w:rPr>
        <w:t xml:space="preserve"> La description lithologique des deux affleurements est comme suit :</w:t>
      </w:r>
    </w:p>
    <w:p w:rsidR="009E3D45" w:rsidRPr="005C3A14" w:rsidRDefault="009E3D45" w:rsidP="00185C42">
      <w:pPr>
        <w:tabs>
          <w:tab w:val="left" w:pos="2265"/>
        </w:tabs>
        <w:spacing w:line="360" w:lineRule="auto"/>
        <w:rPr>
          <w:rFonts w:asciiTheme="majorBidi" w:hAnsiTheme="majorBidi" w:cstheme="majorBidi"/>
          <w:sz w:val="24"/>
          <w:szCs w:val="24"/>
        </w:rPr>
      </w:pPr>
    </w:p>
    <w:p w:rsidR="009E3D45" w:rsidRPr="005C3A14" w:rsidRDefault="009E3D45" w:rsidP="009E3D45">
      <w:pPr>
        <w:tabs>
          <w:tab w:val="left" w:pos="2265"/>
        </w:tabs>
        <w:rPr>
          <w:rFonts w:asciiTheme="majorBidi" w:hAnsiTheme="majorBidi" w:cstheme="majorBidi"/>
          <w:sz w:val="24"/>
          <w:szCs w:val="24"/>
        </w:rPr>
      </w:pPr>
    </w:p>
    <w:p w:rsidR="009E3D45" w:rsidRPr="005C3A14" w:rsidRDefault="009E3D45" w:rsidP="009E3D45">
      <w:pPr>
        <w:tabs>
          <w:tab w:val="left" w:pos="9781"/>
        </w:tabs>
        <w:rPr>
          <w:rFonts w:asciiTheme="majorBidi" w:hAnsiTheme="majorBidi" w:cstheme="majorBidi"/>
          <w:sz w:val="24"/>
          <w:szCs w:val="24"/>
        </w:rPr>
      </w:pPr>
      <w:r w:rsidRPr="005C3A14">
        <w:rPr>
          <w:rFonts w:asciiTheme="majorBidi" w:hAnsiTheme="majorBidi" w:cstheme="majorBidi"/>
          <w:noProof/>
          <w:sz w:val="24"/>
          <w:szCs w:val="24"/>
        </w:rPr>
        <w:lastRenderedPageBreak/>
        <w:drawing>
          <wp:anchor distT="0" distB="0" distL="114300" distR="114300" simplePos="0" relativeHeight="251665408" behindDoc="0" locked="0" layoutInCell="1" allowOverlap="1">
            <wp:simplePos x="0" y="0"/>
            <wp:positionH relativeFrom="column">
              <wp:posOffset>23495</wp:posOffset>
            </wp:positionH>
            <wp:positionV relativeFrom="paragraph">
              <wp:posOffset>15240</wp:posOffset>
            </wp:positionV>
            <wp:extent cx="5786755" cy="3276600"/>
            <wp:effectExtent l="19050" t="19050" r="23495" b="19050"/>
            <wp:wrapSquare wrapText="bothSides"/>
            <wp:docPr id="6" name="Image 1" descr="E:\mmm\IMAGES\GEOLOGIE\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mm\IMAGES\GEOLOGIE\Sans titre.png"/>
                    <pic:cNvPicPr>
                      <a:picLocks noChangeAspect="1" noChangeArrowheads="1"/>
                    </pic:cNvPicPr>
                  </pic:nvPicPr>
                  <pic:blipFill>
                    <a:blip r:embed="rId12"/>
                    <a:srcRect/>
                    <a:stretch>
                      <a:fillRect/>
                    </a:stretch>
                  </pic:blipFill>
                  <pic:spPr bwMode="auto">
                    <a:xfrm>
                      <a:off x="0" y="0"/>
                      <a:ext cx="5786755" cy="3276600"/>
                    </a:xfrm>
                    <a:prstGeom prst="rect">
                      <a:avLst/>
                    </a:prstGeom>
                    <a:noFill/>
                    <a:ln w="9525">
                      <a:solidFill>
                        <a:schemeClr val="accent1"/>
                      </a:solidFill>
                      <a:miter lim="800000"/>
                      <a:headEnd/>
                      <a:tailEnd/>
                    </a:ln>
                  </pic:spPr>
                </pic:pic>
              </a:graphicData>
            </a:graphic>
          </wp:anchor>
        </w:drawing>
      </w:r>
    </w:p>
    <w:p w:rsidR="009E3D45" w:rsidRPr="00185C42" w:rsidRDefault="009E3D45" w:rsidP="00185C42">
      <w:pPr>
        <w:autoSpaceDE w:val="0"/>
        <w:autoSpaceDN w:val="0"/>
        <w:adjustRightInd w:val="0"/>
        <w:spacing w:after="0" w:line="360" w:lineRule="auto"/>
        <w:jc w:val="center"/>
        <w:rPr>
          <w:rFonts w:asciiTheme="majorBidi" w:hAnsiTheme="majorBidi" w:cstheme="majorBidi"/>
          <w:b/>
          <w:bCs/>
        </w:rPr>
      </w:pPr>
      <w:r w:rsidRPr="00185C42">
        <w:rPr>
          <w:rFonts w:asciiTheme="majorBidi" w:hAnsiTheme="majorBidi" w:cstheme="majorBidi"/>
          <w:b/>
          <w:bCs/>
        </w:rPr>
        <w:t>Figure (</w:t>
      </w:r>
      <w:r w:rsidR="007C4A9B" w:rsidRPr="007C4A9B">
        <w:rPr>
          <w:rFonts w:asciiTheme="majorBidi" w:eastAsiaTheme="majorEastAsia" w:hAnsiTheme="majorBidi" w:cstheme="majorBidi"/>
          <w:b/>
          <w:bCs/>
        </w:rPr>
        <w:t>I</w:t>
      </w:r>
      <w:r w:rsidR="007C4A9B">
        <w:rPr>
          <w:rFonts w:asciiTheme="majorBidi" w:eastAsiaTheme="majorEastAsia" w:hAnsiTheme="majorBidi" w:cstheme="majorBidi"/>
          <w:b/>
          <w:bCs/>
          <w:sz w:val="24"/>
          <w:szCs w:val="24"/>
        </w:rPr>
        <w:t>.</w:t>
      </w:r>
      <w:r w:rsidRPr="00185C42">
        <w:rPr>
          <w:rFonts w:asciiTheme="majorBidi" w:hAnsiTheme="majorBidi" w:cstheme="majorBidi"/>
          <w:b/>
          <w:bCs/>
        </w:rPr>
        <w:t>II-4) : Carte géologique de la vallée d’Oued el Abiod</w:t>
      </w:r>
    </w:p>
    <w:p w:rsidR="009E3D45" w:rsidRPr="00185C42" w:rsidRDefault="009E3D45" w:rsidP="00185C42">
      <w:pPr>
        <w:autoSpaceDE w:val="0"/>
        <w:autoSpaceDN w:val="0"/>
        <w:adjustRightInd w:val="0"/>
        <w:spacing w:after="0" w:line="360" w:lineRule="auto"/>
        <w:jc w:val="center"/>
        <w:rPr>
          <w:rFonts w:asciiTheme="majorBidi" w:hAnsiTheme="majorBidi" w:cstheme="majorBidi"/>
          <w:b/>
          <w:bCs/>
        </w:rPr>
      </w:pPr>
      <w:r w:rsidRPr="00185C42">
        <w:rPr>
          <w:rFonts w:asciiTheme="majorBidi" w:hAnsiTheme="majorBidi" w:cstheme="majorBidi"/>
          <w:b/>
          <w:bCs/>
        </w:rPr>
        <w:t>(Source : L’auteur, 2009 ; d’après R.Laffitte, 1939).</w:t>
      </w:r>
    </w:p>
    <w:p w:rsidR="009E3D45" w:rsidRPr="00185C42" w:rsidRDefault="009E3D45" w:rsidP="00185C42">
      <w:pPr>
        <w:tabs>
          <w:tab w:val="left" w:pos="2265"/>
        </w:tabs>
        <w:jc w:val="center"/>
        <w:rPr>
          <w:rFonts w:asciiTheme="majorBidi" w:hAnsiTheme="majorBidi" w:cstheme="majorBidi"/>
        </w:rPr>
      </w:pPr>
    </w:p>
    <w:p w:rsidR="009E3D45" w:rsidRPr="005C3A14" w:rsidRDefault="009E3D45" w:rsidP="009E3D45">
      <w:pPr>
        <w:tabs>
          <w:tab w:val="left" w:pos="2265"/>
        </w:tabs>
        <w:rPr>
          <w:rFonts w:asciiTheme="majorBidi" w:hAnsiTheme="majorBidi" w:cstheme="majorBidi"/>
          <w:sz w:val="24"/>
          <w:szCs w:val="24"/>
        </w:rPr>
      </w:pPr>
      <w:r w:rsidRPr="005C3A14">
        <w:rPr>
          <w:rFonts w:asciiTheme="majorBidi" w:hAnsiTheme="majorBidi" w:cstheme="majorBidi"/>
          <w:noProof/>
          <w:sz w:val="24"/>
          <w:szCs w:val="24"/>
        </w:rPr>
        <w:drawing>
          <wp:inline distT="0" distB="0" distL="0" distR="0">
            <wp:extent cx="5760720" cy="3286125"/>
            <wp:effectExtent l="19050" t="19050" r="11430" b="28575"/>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760720" cy="3286125"/>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inline>
        </w:drawing>
      </w:r>
    </w:p>
    <w:p w:rsidR="009E3D45" w:rsidRPr="00185C42" w:rsidRDefault="009E3D45" w:rsidP="009E3D45">
      <w:pPr>
        <w:tabs>
          <w:tab w:val="left" w:pos="2100"/>
        </w:tabs>
        <w:spacing w:line="360" w:lineRule="auto"/>
        <w:jc w:val="center"/>
        <w:rPr>
          <w:rFonts w:asciiTheme="majorBidi" w:hAnsiTheme="majorBidi" w:cstheme="majorBidi"/>
          <w:b/>
          <w:bCs/>
        </w:rPr>
      </w:pPr>
      <w:r w:rsidRPr="00185C42">
        <w:rPr>
          <w:rFonts w:asciiTheme="majorBidi" w:hAnsiTheme="majorBidi" w:cstheme="majorBidi"/>
          <w:b/>
          <w:bCs/>
        </w:rPr>
        <w:t>Figure (I</w:t>
      </w:r>
      <w:r w:rsidR="00A24F9C" w:rsidRPr="00A24F9C">
        <w:rPr>
          <w:rFonts w:asciiTheme="majorBidi" w:hAnsiTheme="majorBidi" w:cstheme="majorBidi"/>
          <w:b/>
          <w:bCs/>
        </w:rPr>
        <w:t xml:space="preserve"> </w:t>
      </w:r>
      <w:r w:rsidR="00A24F9C">
        <w:rPr>
          <w:rFonts w:asciiTheme="majorBidi" w:hAnsiTheme="majorBidi" w:cstheme="majorBidi"/>
          <w:b/>
          <w:bCs/>
        </w:rPr>
        <w:t>.</w:t>
      </w:r>
      <w:r w:rsidR="00A24F9C" w:rsidRPr="00185C42">
        <w:rPr>
          <w:rFonts w:asciiTheme="majorBidi" w:hAnsiTheme="majorBidi" w:cstheme="majorBidi"/>
          <w:b/>
          <w:bCs/>
        </w:rPr>
        <w:t>II</w:t>
      </w:r>
      <w:r w:rsidRPr="00185C42">
        <w:rPr>
          <w:rFonts w:asciiTheme="majorBidi" w:hAnsiTheme="majorBidi" w:cstheme="majorBidi"/>
          <w:b/>
          <w:bCs/>
        </w:rPr>
        <w:t>.5) : Coupe géologique du bassin versant (D’après Laffitte 1939).</w:t>
      </w:r>
    </w:p>
    <w:p w:rsidR="00185C42" w:rsidRDefault="00185C42" w:rsidP="009E3D45">
      <w:pPr>
        <w:autoSpaceDE w:val="0"/>
        <w:autoSpaceDN w:val="0"/>
        <w:adjustRightInd w:val="0"/>
        <w:spacing w:after="0" w:line="360" w:lineRule="auto"/>
        <w:jc w:val="both"/>
        <w:rPr>
          <w:rFonts w:asciiTheme="majorBidi" w:hAnsiTheme="majorBidi" w:cstheme="majorBidi"/>
          <w:b/>
          <w:bCs/>
          <w:sz w:val="24"/>
          <w:szCs w:val="24"/>
        </w:rPr>
      </w:pPr>
    </w:p>
    <w:p w:rsidR="009E3D45" w:rsidRPr="005C3A14" w:rsidRDefault="00AC533E" w:rsidP="009E3D45">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sidR="009E3D45" w:rsidRPr="005C3A14">
        <w:rPr>
          <w:rFonts w:asciiTheme="majorBidi" w:hAnsiTheme="majorBidi" w:cstheme="majorBidi"/>
          <w:b/>
          <w:bCs/>
          <w:sz w:val="24"/>
          <w:szCs w:val="24"/>
        </w:rPr>
        <w:t>II.6- Les Caractéristiques lithologiques :</w:t>
      </w:r>
    </w:p>
    <w:p w:rsidR="009E3D45" w:rsidRPr="005C3A14" w:rsidRDefault="009E3D45" w:rsidP="00185C42">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 xml:space="preserve">La série lithologique est surmontée en </w:t>
      </w:r>
      <w:r w:rsidR="00185C42" w:rsidRPr="005C3A14">
        <w:rPr>
          <w:rFonts w:asciiTheme="majorBidi" w:hAnsiTheme="majorBidi" w:cstheme="majorBidi"/>
          <w:sz w:val="24"/>
          <w:szCs w:val="24"/>
        </w:rPr>
        <w:t>dis concordance</w:t>
      </w:r>
      <w:r w:rsidRPr="005C3A14">
        <w:rPr>
          <w:rFonts w:asciiTheme="majorBidi" w:hAnsiTheme="majorBidi" w:cstheme="majorBidi"/>
          <w:sz w:val="24"/>
          <w:szCs w:val="24"/>
        </w:rPr>
        <w:t xml:space="preserve"> par des formations plus récentes appartenant essentiellement au Miocène et au Pliocène caractérisées par des conglomérats, des argiles et des sables. Ces dernières se localisent surtout vers le Sud du b.v.</w:t>
      </w:r>
    </w:p>
    <w:p w:rsidR="009E3D45" w:rsidRPr="005C3A14" w:rsidRDefault="009E3D45" w:rsidP="009E3D45">
      <w:pPr>
        <w:autoSpaceDE w:val="0"/>
        <w:autoSpaceDN w:val="0"/>
        <w:adjustRightInd w:val="0"/>
        <w:spacing w:after="0" w:line="360" w:lineRule="auto"/>
        <w:jc w:val="both"/>
        <w:rPr>
          <w:rFonts w:asciiTheme="majorBidi" w:hAnsiTheme="majorBidi" w:cstheme="majorBidi"/>
          <w:color w:val="FF0000"/>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tblPr>
      <w:tblGrid>
        <w:gridCol w:w="2638"/>
        <w:gridCol w:w="2639"/>
        <w:gridCol w:w="2639"/>
      </w:tblGrid>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b/>
                <w:bCs/>
              </w:rPr>
            </w:pPr>
            <w:r w:rsidRPr="00185C42">
              <w:rPr>
                <w:rFonts w:asciiTheme="majorBidi" w:hAnsiTheme="majorBidi" w:cstheme="majorBidi"/>
                <w:b/>
                <w:bCs/>
              </w:rPr>
              <w:t>Formations</w:t>
            </w:r>
          </w:p>
        </w:tc>
        <w:tc>
          <w:tcPr>
            <w:tcW w:w="2639" w:type="dxa"/>
          </w:tcPr>
          <w:p w:rsidR="009E3D45" w:rsidRPr="00185C42" w:rsidRDefault="009E3D45" w:rsidP="008C3239">
            <w:pPr>
              <w:spacing w:line="360" w:lineRule="auto"/>
              <w:jc w:val="center"/>
              <w:rPr>
                <w:rFonts w:asciiTheme="majorBidi" w:hAnsiTheme="majorBidi" w:cstheme="majorBidi"/>
                <w:b/>
                <w:bCs/>
              </w:rPr>
            </w:pPr>
            <w:r w:rsidRPr="00185C42">
              <w:rPr>
                <w:rFonts w:asciiTheme="majorBidi" w:hAnsiTheme="majorBidi" w:cstheme="majorBidi"/>
                <w:b/>
                <w:bCs/>
              </w:rPr>
              <w:t>Résistance à l’érosion</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b/>
                <w:bCs/>
              </w:rPr>
              <w:t>Perméabilité</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Calcaire fissuré</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Très résistant</w:t>
            </w:r>
          </w:p>
        </w:tc>
        <w:tc>
          <w:tcPr>
            <w:tcW w:w="2639" w:type="dxa"/>
          </w:tcPr>
          <w:p w:rsidR="009E3D45" w:rsidRPr="00185C42" w:rsidRDefault="009E3D45" w:rsidP="008C3239">
            <w:pPr>
              <w:autoSpaceDE w:val="0"/>
              <w:autoSpaceDN w:val="0"/>
              <w:adjustRightInd w:val="0"/>
              <w:spacing w:line="360" w:lineRule="auto"/>
              <w:jc w:val="center"/>
              <w:rPr>
                <w:rFonts w:asciiTheme="majorBidi" w:hAnsiTheme="majorBidi" w:cstheme="majorBidi"/>
              </w:rPr>
            </w:pPr>
            <w:r w:rsidRPr="00185C42">
              <w:rPr>
                <w:rFonts w:asciiTheme="majorBidi" w:hAnsiTheme="majorBidi" w:cstheme="majorBidi"/>
              </w:rPr>
              <w:t>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dolomie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Très résistant</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imperméable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grés</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Très résistant</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Semi-perméable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Calcaire-gréseux</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résistant</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Semi-perméable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Calcaire-marneux</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résistant</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Semi-perméable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Quaternaire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Résistance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moyenne 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marne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Non résistant</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Perméabilité faible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galets</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Résistance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moyenne 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graviers</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Résistance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moyenne perméable</w:t>
            </w:r>
          </w:p>
        </w:tc>
      </w:tr>
      <w:tr w:rsidR="009E3D45" w:rsidRPr="00185C42" w:rsidTr="00185C42">
        <w:trPr>
          <w:trHeight w:val="353"/>
          <w:jc w:val="center"/>
        </w:trPr>
        <w:tc>
          <w:tcPr>
            <w:tcW w:w="2638"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éboulis</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Résistance</w:t>
            </w:r>
          </w:p>
        </w:tc>
        <w:tc>
          <w:tcPr>
            <w:tcW w:w="2639" w:type="dxa"/>
          </w:tcPr>
          <w:p w:rsidR="009E3D45" w:rsidRPr="00185C42" w:rsidRDefault="009E3D45" w:rsidP="008C3239">
            <w:pPr>
              <w:spacing w:line="360" w:lineRule="auto"/>
              <w:jc w:val="center"/>
              <w:rPr>
                <w:rFonts w:asciiTheme="majorBidi" w:hAnsiTheme="majorBidi" w:cstheme="majorBidi"/>
              </w:rPr>
            </w:pPr>
            <w:r w:rsidRPr="00185C42">
              <w:rPr>
                <w:rFonts w:asciiTheme="majorBidi" w:hAnsiTheme="majorBidi" w:cstheme="majorBidi"/>
              </w:rPr>
              <w:t>moyenne perméable</w:t>
            </w:r>
          </w:p>
        </w:tc>
      </w:tr>
    </w:tbl>
    <w:p w:rsidR="00185C42" w:rsidRDefault="00185C42" w:rsidP="00185C42">
      <w:pPr>
        <w:autoSpaceDE w:val="0"/>
        <w:autoSpaceDN w:val="0"/>
        <w:adjustRightInd w:val="0"/>
        <w:spacing w:after="0" w:line="360" w:lineRule="auto"/>
        <w:jc w:val="center"/>
        <w:rPr>
          <w:rFonts w:asciiTheme="majorBidi" w:hAnsiTheme="majorBidi" w:cstheme="majorBidi"/>
        </w:rPr>
      </w:pPr>
    </w:p>
    <w:p w:rsidR="00185C42" w:rsidRPr="00185C42" w:rsidRDefault="00185C42" w:rsidP="00185C42">
      <w:pPr>
        <w:autoSpaceDE w:val="0"/>
        <w:autoSpaceDN w:val="0"/>
        <w:adjustRightInd w:val="0"/>
        <w:spacing w:after="0" w:line="360" w:lineRule="auto"/>
        <w:jc w:val="center"/>
        <w:rPr>
          <w:rFonts w:asciiTheme="majorBidi" w:hAnsiTheme="majorBidi" w:cstheme="majorBidi"/>
          <w:b/>
          <w:bCs/>
        </w:rPr>
      </w:pPr>
      <w:r w:rsidRPr="00185C42">
        <w:rPr>
          <w:rFonts w:asciiTheme="majorBidi" w:hAnsiTheme="majorBidi" w:cstheme="majorBidi"/>
          <w:b/>
          <w:bCs/>
        </w:rPr>
        <w:t>Tableau (</w:t>
      </w:r>
      <w:r w:rsidR="00A24F9C" w:rsidRPr="00AC533E">
        <w:rPr>
          <w:rFonts w:asciiTheme="majorBidi" w:eastAsiaTheme="majorEastAsia" w:hAnsiTheme="majorBidi" w:cstheme="majorBidi"/>
          <w:b/>
          <w:bCs/>
          <w:sz w:val="24"/>
          <w:szCs w:val="24"/>
        </w:rPr>
        <w:t>I</w:t>
      </w:r>
      <w:r w:rsidR="00A24F9C">
        <w:rPr>
          <w:rFonts w:asciiTheme="majorBidi" w:eastAsiaTheme="majorEastAsia" w:hAnsiTheme="majorBidi" w:cstheme="majorBidi"/>
          <w:b/>
          <w:bCs/>
          <w:sz w:val="24"/>
          <w:szCs w:val="24"/>
        </w:rPr>
        <w:t>.</w:t>
      </w:r>
      <w:r w:rsidR="00A24F9C" w:rsidRPr="00185C42">
        <w:rPr>
          <w:rFonts w:asciiTheme="majorBidi" w:hAnsiTheme="majorBidi" w:cstheme="majorBidi"/>
          <w:b/>
          <w:bCs/>
        </w:rPr>
        <w:t xml:space="preserve"> </w:t>
      </w:r>
      <w:r w:rsidR="00A24F9C">
        <w:rPr>
          <w:rFonts w:asciiTheme="majorBidi" w:hAnsiTheme="majorBidi" w:cstheme="majorBidi"/>
          <w:b/>
          <w:bCs/>
        </w:rPr>
        <w:t>II.1</w:t>
      </w:r>
      <w:r w:rsidRPr="00185C42">
        <w:rPr>
          <w:rFonts w:asciiTheme="majorBidi" w:hAnsiTheme="majorBidi" w:cstheme="majorBidi"/>
          <w:b/>
          <w:bCs/>
        </w:rPr>
        <w:t>) Les caractéristiques des matériaux du b.v.</w:t>
      </w:r>
    </w:p>
    <w:p w:rsidR="009E3D45" w:rsidRPr="00185C42" w:rsidRDefault="009E3D45" w:rsidP="009E3D45">
      <w:pPr>
        <w:autoSpaceDE w:val="0"/>
        <w:autoSpaceDN w:val="0"/>
        <w:adjustRightInd w:val="0"/>
        <w:spacing w:after="0" w:line="360" w:lineRule="auto"/>
        <w:jc w:val="center"/>
        <w:rPr>
          <w:rFonts w:asciiTheme="majorBidi" w:hAnsiTheme="majorBidi" w:cstheme="majorBidi"/>
          <w:b/>
          <w:bCs/>
          <w:sz w:val="24"/>
          <w:szCs w:val="24"/>
        </w:rPr>
      </w:pPr>
    </w:p>
    <w:p w:rsidR="009E3D45" w:rsidRPr="005C3A14" w:rsidRDefault="009E3D45" w:rsidP="00185C42">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Théoriquement, la répartition lithologique du b.v. montre des zones à érodibilité moyenne à faible au Nord et d’autres secteurs à érodibilité forte au sud en raison de la lithologie favorable qui coïncide avec l’absence du couvert végétal, ce qui favorise un ruissellement violant et donc l’érosion sera plus ou moins importante. Pour une meilleure évaluation des risques qui menacent notre b.v, on à opté pour la division de ce dernier suivant les caractéristiques dominantes et leur influence sur le comportement du b.v.</w:t>
      </w:r>
    </w:p>
    <w:p w:rsidR="009E3D45" w:rsidRPr="005C3A14" w:rsidRDefault="009E3D45" w:rsidP="009E3D45">
      <w:pPr>
        <w:tabs>
          <w:tab w:val="left" w:pos="2265"/>
        </w:tabs>
        <w:rPr>
          <w:rFonts w:asciiTheme="majorBidi" w:hAnsiTheme="majorBidi" w:cstheme="majorBidi"/>
          <w:sz w:val="24"/>
          <w:szCs w:val="24"/>
        </w:rPr>
      </w:pPr>
      <w:r w:rsidRPr="005C3A14">
        <w:rPr>
          <w:rFonts w:asciiTheme="majorBidi" w:hAnsiTheme="majorBidi" w:cstheme="majorBidi"/>
          <w:noProof/>
          <w:sz w:val="24"/>
          <w:szCs w:val="24"/>
        </w:rPr>
        <w:lastRenderedPageBreak/>
        <w:drawing>
          <wp:anchor distT="0" distB="0" distL="114300" distR="114300" simplePos="0" relativeHeight="251662336" behindDoc="0" locked="0" layoutInCell="1" allowOverlap="1">
            <wp:simplePos x="0" y="0"/>
            <wp:positionH relativeFrom="column">
              <wp:posOffset>19685</wp:posOffset>
            </wp:positionH>
            <wp:positionV relativeFrom="paragraph">
              <wp:posOffset>148590</wp:posOffset>
            </wp:positionV>
            <wp:extent cx="6318250" cy="7467600"/>
            <wp:effectExtent l="19050" t="0" r="6350" b="0"/>
            <wp:wrapSquare wrapText="bothSides"/>
            <wp:docPr id="9" name="Image 2" descr="E:\mmm\IMAGES\GEOLOGIE\LITH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mm\IMAGES\GEOLOGIE\LITHOLOGIE.png"/>
                    <pic:cNvPicPr>
                      <a:picLocks noChangeAspect="1" noChangeArrowheads="1"/>
                    </pic:cNvPicPr>
                  </pic:nvPicPr>
                  <pic:blipFill>
                    <a:blip r:embed="rId14"/>
                    <a:srcRect/>
                    <a:stretch>
                      <a:fillRect/>
                    </a:stretch>
                  </pic:blipFill>
                  <pic:spPr bwMode="auto">
                    <a:xfrm>
                      <a:off x="0" y="0"/>
                      <a:ext cx="6318250" cy="7467600"/>
                    </a:xfrm>
                    <a:prstGeom prst="rect">
                      <a:avLst/>
                    </a:prstGeom>
                    <a:noFill/>
                    <a:ln w="9525">
                      <a:noFill/>
                      <a:miter lim="800000"/>
                      <a:headEnd/>
                      <a:tailEnd/>
                    </a:ln>
                  </pic:spPr>
                </pic:pic>
              </a:graphicData>
            </a:graphic>
          </wp:anchor>
        </w:drawing>
      </w:r>
    </w:p>
    <w:p w:rsidR="009E3D45" w:rsidRPr="00185C42" w:rsidRDefault="009E3D45" w:rsidP="00A24F9C">
      <w:pPr>
        <w:autoSpaceDE w:val="0"/>
        <w:autoSpaceDN w:val="0"/>
        <w:adjustRightInd w:val="0"/>
        <w:spacing w:after="0" w:line="360" w:lineRule="auto"/>
        <w:jc w:val="center"/>
        <w:rPr>
          <w:rFonts w:asciiTheme="majorBidi" w:hAnsiTheme="majorBidi" w:cstheme="majorBidi"/>
          <w:b/>
          <w:bCs/>
        </w:rPr>
      </w:pPr>
      <w:r w:rsidRPr="00185C42">
        <w:rPr>
          <w:rFonts w:asciiTheme="majorBidi" w:hAnsiTheme="majorBidi" w:cstheme="majorBidi"/>
          <w:b/>
          <w:bCs/>
        </w:rPr>
        <w:t>Figure</w:t>
      </w:r>
      <w:r w:rsidR="00A24F9C" w:rsidRPr="00185C42">
        <w:rPr>
          <w:rFonts w:asciiTheme="majorBidi" w:hAnsiTheme="majorBidi" w:cstheme="majorBidi"/>
          <w:b/>
          <w:bCs/>
        </w:rPr>
        <w:t xml:space="preserve"> </w:t>
      </w:r>
      <w:r w:rsidR="00A24F9C">
        <w:rPr>
          <w:rFonts w:asciiTheme="majorBidi" w:hAnsiTheme="majorBidi" w:cstheme="majorBidi"/>
          <w:b/>
          <w:bCs/>
        </w:rPr>
        <w:t>(</w:t>
      </w:r>
      <w:r w:rsidR="00A24F9C" w:rsidRPr="00AC533E">
        <w:rPr>
          <w:rFonts w:asciiTheme="majorBidi" w:eastAsiaTheme="majorEastAsia" w:hAnsiTheme="majorBidi" w:cstheme="majorBidi"/>
          <w:b/>
          <w:bCs/>
          <w:sz w:val="24"/>
          <w:szCs w:val="24"/>
        </w:rPr>
        <w:t>I</w:t>
      </w:r>
      <w:r w:rsidR="00A24F9C">
        <w:rPr>
          <w:rFonts w:asciiTheme="majorBidi" w:hAnsiTheme="majorBidi" w:cstheme="majorBidi"/>
          <w:b/>
          <w:bCs/>
        </w:rPr>
        <w:t xml:space="preserve"> .II.6</w:t>
      </w:r>
      <w:r w:rsidRPr="00185C42">
        <w:rPr>
          <w:rFonts w:asciiTheme="majorBidi" w:hAnsiTheme="majorBidi" w:cstheme="majorBidi"/>
          <w:b/>
          <w:bCs/>
        </w:rPr>
        <w:t>) : Carte lithologique du bassin versant Oued el Abiod.</w:t>
      </w:r>
    </w:p>
    <w:p w:rsidR="009E3D45" w:rsidRPr="005C3A14" w:rsidRDefault="009E3D45" w:rsidP="00185C42">
      <w:pPr>
        <w:autoSpaceDE w:val="0"/>
        <w:autoSpaceDN w:val="0"/>
        <w:adjustRightInd w:val="0"/>
        <w:spacing w:after="0" w:line="360" w:lineRule="auto"/>
        <w:jc w:val="center"/>
        <w:rPr>
          <w:rFonts w:asciiTheme="majorBidi" w:hAnsiTheme="majorBidi" w:cstheme="majorBidi"/>
          <w:b/>
          <w:bCs/>
          <w:sz w:val="24"/>
          <w:szCs w:val="24"/>
        </w:rPr>
      </w:pPr>
    </w:p>
    <w:p w:rsidR="00185C42" w:rsidRDefault="00185C42" w:rsidP="009E3D45">
      <w:pPr>
        <w:tabs>
          <w:tab w:val="left" w:pos="2100"/>
        </w:tabs>
        <w:spacing w:line="360" w:lineRule="auto"/>
        <w:jc w:val="both"/>
        <w:rPr>
          <w:rFonts w:asciiTheme="majorBidi" w:hAnsiTheme="majorBidi" w:cstheme="majorBidi"/>
          <w:b/>
          <w:bCs/>
          <w:sz w:val="24"/>
          <w:szCs w:val="24"/>
        </w:rPr>
      </w:pPr>
    </w:p>
    <w:p w:rsidR="009E3D45" w:rsidRPr="005C3A14" w:rsidRDefault="00AC533E" w:rsidP="009E3D45">
      <w:pPr>
        <w:tabs>
          <w:tab w:val="left" w:pos="2100"/>
        </w:tabs>
        <w:spacing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lastRenderedPageBreak/>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Pr>
          <w:rFonts w:asciiTheme="majorBidi" w:hAnsiTheme="majorBidi" w:cstheme="majorBidi"/>
          <w:b/>
          <w:bCs/>
          <w:sz w:val="24"/>
          <w:szCs w:val="24"/>
        </w:rPr>
        <w:t>II.7</w:t>
      </w:r>
      <w:r w:rsidR="009E3D45" w:rsidRPr="005C3A14">
        <w:rPr>
          <w:rFonts w:asciiTheme="majorBidi" w:hAnsiTheme="majorBidi" w:cstheme="majorBidi"/>
          <w:b/>
          <w:bCs/>
          <w:sz w:val="24"/>
          <w:szCs w:val="24"/>
        </w:rPr>
        <w:t xml:space="preserve"> Conclusion :</w:t>
      </w:r>
    </w:p>
    <w:p w:rsidR="009E3D45" w:rsidRPr="005C3A14" w:rsidRDefault="009E3D45" w:rsidP="00185C42">
      <w:pPr>
        <w:autoSpaceDE w:val="0"/>
        <w:autoSpaceDN w:val="0"/>
        <w:adjustRightInd w:val="0"/>
        <w:spacing w:after="0" w:line="360" w:lineRule="auto"/>
        <w:jc w:val="both"/>
        <w:rPr>
          <w:rFonts w:asciiTheme="majorBidi" w:hAnsiTheme="majorBidi" w:cstheme="majorBidi"/>
          <w:sz w:val="24"/>
          <w:szCs w:val="24"/>
        </w:rPr>
      </w:pPr>
      <w:r w:rsidRPr="005C3A14">
        <w:rPr>
          <w:rFonts w:asciiTheme="majorBidi" w:hAnsiTheme="majorBidi" w:cstheme="majorBidi"/>
          <w:sz w:val="24"/>
          <w:szCs w:val="24"/>
        </w:rPr>
        <w:t>Le bassin versant de l’Oued el Abiod représente l’un des plus grands bassins du massif des Aurès (Est Algérien) sur une superficie de près de 1300 km².</w:t>
      </w:r>
    </w:p>
    <w:p w:rsidR="009E3D45" w:rsidRPr="005C3A14" w:rsidRDefault="009E3D45" w:rsidP="009E3D45">
      <w:pPr>
        <w:autoSpaceDE w:val="0"/>
        <w:autoSpaceDN w:val="0"/>
        <w:adjustRightInd w:val="0"/>
        <w:spacing w:after="0" w:line="360" w:lineRule="auto"/>
        <w:rPr>
          <w:rFonts w:asciiTheme="majorBidi" w:hAnsiTheme="majorBidi" w:cstheme="majorBidi"/>
          <w:b/>
          <w:bCs/>
          <w:sz w:val="24"/>
          <w:szCs w:val="24"/>
        </w:rPr>
      </w:pPr>
      <w:r w:rsidRPr="005C3A14">
        <w:rPr>
          <w:rFonts w:asciiTheme="majorBidi" w:hAnsiTheme="majorBidi" w:cstheme="majorBidi"/>
          <w:sz w:val="24"/>
          <w:szCs w:val="24"/>
        </w:rPr>
        <w:t>De par ses dimensions et ses composantes naturelles, il représente les caractéristiques d’une zone semi-aride favorable à une érosion accentuée : pentes raides, couvert végétal dégradé, relief dont la nature lithologique est favorable à la dégradation et des pluies plus au moins torrentielles et irrégulières, engendrant des répercussions directes à l'amont, par des pertes de sols et des ravinements intenses, et à l'aval, par l'envasement du barrage Foum el gherza.</w:t>
      </w:r>
    </w:p>
    <w:p w:rsidR="009E3D45" w:rsidRDefault="009E3D45"/>
    <w:p w:rsidR="009E3D45" w:rsidRDefault="009E3D45"/>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Default="00185C42"/>
    <w:p w:rsidR="00185C42" w:rsidRPr="00831E0D" w:rsidRDefault="00185C42" w:rsidP="00AC533E">
      <w:pPr>
        <w:jc w:val="center"/>
        <w:rPr>
          <w:rFonts w:asciiTheme="majorBidi" w:eastAsiaTheme="minorHAnsi" w:hAnsiTheme="majorBidi" w:cstheme="majorBidi"/>
          <w:b/>
          <w:bCs/>
          <w:sz w:val="24"/>
          <w:szCs w:val="24"/>
          <w:lang w:eastAsia="en-US"/>
        </w:rPr>
      </w:pPr>
      <w:r w:rsidRPr="00831E0D">
        <w:rPr>
          <w:rFonts w:asciiTheme="majorBidi" w:eastAsiaTheme="minorHAnsi" w:hAnsiTheme="majorBidi" w:cstheme="majorBidi"/>
          <w:b/>
          <w:bCs/>
          <w:sz w:val="24"/>
          <w:szCs w:val="24"/>
          <w:lang w:eastAsia="en-US"/>
        </w:rPr>
        <w:t>PARTIE</w:t>
      </w:r>
      <w:r w:rsidR="00AC533E" w:rsidRPr="00831E0D">
        <w:rPr>
          <w:rFonts w:asciiTheme="majorBidi" w:hAnsiTheme="majorBidi" w:cstheme="majorBidi"/>
          <w:b/>
          <w:bCs/>
          <w:color w:val="000000" w:themeColor="text1"/>
          <w:sz w:val="24"/>
          <w:szCs w:val="24"/>
        </w:rPr>
        <w:t xml:space="preserve"> </w:t>
      </w:r>
      <w:r w:rsidR="00AC533E" w:rsidRPr="00831E0D">
        <w:rPr>
          <w:rStyle w:val="shorttext"/>
          <w:rFonts w:asciiTheme="majorBidi" w:hAnsiTheme="majorBidi" w:cstheme="majorBidi"/>
          <w:b/>
          <w:bCs/>
          <w:color w:val="000000" w:themeColor="text1"/>
          <w:sz w:val="24"/>
          <w:szCs w:val="24"/>
        </w:rPr>
        <w:t>III</w:t>
      </w:r>
      <w:r w:rsidR="008C3239" w:rsidRPr="00831E0D">
        <w:rPr>
          <w:rFonts w:asciiTheme="majorBidi" w:hAnsiTheme="majorBidi" w:cstheme="majorBidi"/>
          <w:b/>
          <w:bCs/>
          <w:sz w:val="24"/>
          <w:szCs w:val="24"/>
        </w:rPr>
        <w:t> : Caractéristiques</w:t>
      </w:r>
      <w:r w:rsidRPr="00831E0D">
        <w:rPr>
          <w:rFonts w:asciiTheme="majorBidi" w:hAnsiTheme="majorBidi" w:cstheme="majorBidi"/>
          <w:b/>
          <w:bCs/>
          <w:sz w:val="24"/>
          <w:szCs w:val="24"/>
        </w:rPr>
        <w:t xml:space="preserve"> morphologiques du B.V</w:t>
      </w:r>
    </w:p>
    <w:p w:rsidR="00185C42" w:rsidRPr="00BD32DF" w:rsidRDefault="00831E0D" w:rsidP="00185C42">
      <w:pPr>
        <w:autoSpaceDE w:val="0"/>
        <w:autoSpaceDN w:val="0"/>
        <w:adjustRightInd w:val="0"/>
        <w:spacing w:after="240" w:line="360" w:lineRule="auto"/>
        <w:rPr>
          <w:rFonts w:asciiTheme="majorBidi" w:hAnsiTheme="majorBidi" w:cstheme="majorBidi"/>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Pr="005C3A14">
        <w:rPr>
          <w:rFonts w:asciiTheme="majorBidi" w:hAnsiTheme="majorBidi" w:cstheme="majorBidi"/>
          <w:b/>
          <w:bCs/>
          <w:sz w:val="24"/>
          <w:szCs w:val="24"/>
        </w:rPr>
        <w:t xml:space="preserve"> </w:t>
      </w:r>
      <w:r>
        <w:rPr>
          <w:rStyle w:val="shorttext"/>
          <w:rFonts w:asciiTheme="majorBidi" w:hAnsiTheme="majorBidi" w:cstheme="majorBidi"/>
          <w:b/>
          <w:bCs/>
          <w:color w:val="000000" w:themeColor="text1"/>
          <w:sz w:val="24"/>
          <w:szCs w:val="24"/>
        </w:rPr>
        <w:t>III.1</w:t>
      </w:r>
      <w:r w:rsidRPr="00831E0D">
        <w:rPr>
          <w:rFonts w:asciiTheme="majorBidi" w:eastAsiaTheme="minorHAnsi" w:hAnsiTheme="majorBidi" w:cstheme="majorBidi"/>
          <w:b/>
          <w:bCs/>
          <w:sz w:val="24"/>
          <w:szCs w:val="24"/>
          <w:lang w:eastAsia="en-US"/>
        </w:rPr>
        <w:t xml:space="preserve"> Définition</w:t>
      </w:r>
      <w:r>
        <w:rPr>
          <w:rFonts w:asciiTheme="majorBidi" w:eastAsiaTheme="minorHAnsi" w:hAnsiTheme="majorBidi" w:cstheme="majorBidi"/>
          <w:b/>
          <w:bCs/>
          <w:sz w:val="24"/>
          <w:szCs w:val="24"/>
          <w:lang w:eastAsia="en-US"/>
        </w:rPr>
        <w:t> </w:t>
      </w:r>
      <w:r>
        <w:rPr>
          <w:rFonts w:asciiTheme="majorBidi" w:eastAsiaTheme="minorHAnsi" w:hAnsiTheme="majorBidi" w:cstheme="majorBidi"/>
          <w:lang w:eastAsia="en-US"/>
        </w:rPr>
        <w:t xml:space="preserve">:  </w:t>
      </w:r>
      <w:r w:rsidR="00185C42" w:rsidRPr="00BD32DF">
        <w:rPr>
          <w:rFonts w:asciiTheme="majorBidi" w:eastAsiaTheme="minorHAnsi" w:hAnsiTheme="majorBidi" w:cstheme="majorBidi"/>
          <w:lang w:eastAsia="en-US"/>
        </w:rPr>
        <w:t xml:space="preserve"> L’ensemble des caractéristiques de ce bassin versant</w:t>
      </w:r>
      <w:r w:rsidR="00185C42" w:rsidRPr="00BD32DF">
        <w:rPr>
          <w:rFonts w:asciiTheme="majorBidi" w:hAnsiTheme="majorBidi" w:cstheme="majorBidi"/>
          <w:color w:val="000000"/>
        </w:rPr>
        <w:t xml:space="preserve"> d'Oued el Abiod</w:t>
      </w:r>
      <w:r w:rsidR="00185C42" w:rsidRPr="00BD32DF">
        <w:rPr>
          <w:rFonts w:asciiTheme="majorBidi" w:eastAsiaTheme="minorHAnsi" w:hAnsiTheme="majorBidi" w:cstheme="majorBidi"/>
          <w:lang w:eastAsia="en-US"/>
        </w:rPr>
        <w:t xml:space="preserve"> ont été représentées dans le tableau </w:t>
      </w:r>
      <w:r w:rsidR="00185C42" w:rsidRPr="00BD32DF">
        <w:rPr>
          <w:rFonts w:asciiTheme="majorBidi" w:hAnsiTheme="majorBidi" w:cstheme="majorBidi"/>
        </w:rPr>
        <w:t>suivant :</w:t>
      </w:r>
    </w:p>
    <w:tbl>
      <w:tblPr>
        <w:tblStyle w:val="Grilledutableau"/>
        <w:tblW w:w="9195" w:type="dxa"/>
        <w:jc w:val="center"/>
        <w:tblLook w:val="05A0"/>
      </w:tblPr>
      <w:tblGrid>
        <w:gridCol w:w="4178"/>
        <w:gridCol w:w="1435"/>
        <w:gridCol w:w="1433"/>
        <w:gridCol w:w="2149"/>
      </w:tblGrid>
      <w:tr w:rsidR="00185C42" w:rsidRPr="00831E0D" w:rsidTr="008C3239">
        <w:trPr>
          <w:trHeight w:val="397"/>
          <w:jc w:val="center"/>
        </w:trPr>
        <w:tc>
          <w:tcPr>
            <w:tcW w:w="4178" w:type="dxa"/>
            <w:vMerge w:val="restart"/>
            <w:vAlign w:val="center"/>
            <w:hideMark/>
          </w:tcPr>
          <w:p w:rsidR="00185C42" w:rsidRPr="00831E0D" w:rsidRDefault="00185C42" w:rsidP="008C3239">
            <w:pPr>
              <w:tabs>
                <w:tab w:val="left" w:pos="183"/>
              </w:tabs>
              <w:rPr>
                <w:rFonts w:asciiTheme="majorBidi" w:hAnsiTheme="majorBidi" w:cstheme="majorBidi"/>
                <w:b/>
                <w:bCs/>
                <w:color w:val="000000"/>
              </w:rPr>
            </w:pPr>
            <w:r w:rsidRPr="00831E0D">
              <w:rPr>
                <w:rFonts w:asciiTheme="majorBidi" w:hAnsiTheme="majorBidi" w:cstheme="majorBidi"/>
                <w:b/>
                <w:bCs/>
                <w:color w:val="000000"/>
              </w:rPr>
              <w:tab/>
            </w:r>
          </w:p>
          <w:p w:rsidR="00185C42" w:rsidRPr="00831E0D" w:rsidRDefault="00185C42" w:rsidP="008C3239">
            <w:pPr>
              <w:jc w:val="center"/>
              <w:rPr>
                <w:rFonts w:asciiTheme="majorBidi" w:hAnsiTheme="majorBidi" w:cstheme="majorBidi"/>
              </w:rPr>
            </w:pPr>
            <w:r w:rsidRPr="00831E0D">
              <w:rPr>
                <w:rFonts w:asciiTheme="majorBidi" w:hAnsiTheme="majorBidi" w:cstheme="majorBidi"/>
                <w:b/>
                <w:bCs/>
                <w:color w:val="000000"/>
              </w:rPr>
              <w:t>Caractéristiques</w:t>
            </w:r>
          </w:p>
        </w:tc>
        <w:tc>
          <w:tcPr>
            <w:tcW w:w="1435" w:type="dxa"/>
            <w:vMerge w:val="restart"/>
            <w:noWrap/>
            <w:vAlign w:val="center"/>
            <w:hideMark/>
          </w:tcPr>
          <w:p w:rsidR="00185C42" w:rsidRPr="00831E0D" w:rsidRDefault="00185C42" w:rsidP="008C3239">
            <w:pPr>
              <w:jc w:val="center"/>
              <w:rPr>
                <w:rFonts w:asciiTheme="majorBidi" w:hAnsiTheme="majorBidi" w:cstheme="majorBidi"/>
                <w:b/>
                <w:bCs/>
                <w:color w:val="000000"/>
              </w:rPr>
            </w:pPr>
          </w:p>
          <w:p w:rsidR="00185C42" w:rsidRPr="00831E0D" w:rsidRDefault="00185C42" w:rsidP="008C3239">
            <w:pPr>
              <w:jc w:val="center"/>
              <w:rPr>
                <w:rFonts w:asciiTheme="majorBidi" w:hAnsiTheme="majorBidi" w:cstheme="majorBidi"/>
                <w:b/>
                <w:bCs/>
                <w:color w:val="000000"/>
              </w:rPr>
            </w:pPr>
            <w:r w:rsidRPr="00831E0D">
              <w:rPr>
                <w:rFonts w:asciiTheme="majorBidi" w:hAnsiTheme="majorBidi" w:cstheme="majorBidi"/>
                <w:b/>
                <w:bCs/>
                <w:color w:val="000000"/>
              </w:rPr>
              <w:t>Symboles</w:t>
            </w:r>
          </w:p>
        </w:tc>
        <w:tc>
          <w:tcPr>
            <w:tcW w:w="1433" w:type="dxa"/>
            <w:vMerge w:val="restart"/>
            <w:noWrap/>
            <w:vAlign w:val="center"/>
            <w:hideMark/>
          </w:tcPr>
          <w:p w:rsidR="00185C42" w:rsidRPr="00831E0D" w:rsidRDefault="00185C42" w:rsidP="008C3239">
            <w:pPr>
              <w:jc w:val="center"/>
              <w:rPr>
                <w:rFonts w:asciiTheme="majorBidi" w:hAnsiTheme="majorBidi" w:cstheme="majorBidi"/>
                <w:b/>
                <w:bCs/>
                <w:color w:val="000000"/>
              </w:rPr>
            </w:pPr>
          </w:p>
          <w:p w:rsidR="00185C42" w:rsidRPr="00831E0D" w:rsidRDefault="00185C42" w:rsidP="008C3239">
            <w:pPr>
              <w:jc w:val="center"/>
              <w:rPr>
                <w:rFonts w:asciiTheme="majorBidi" w:hAnsiTheme="majorBidi" w:cstheme="majorBidi"/>
                <w:b/>
                <w:bCs/>
                <w:color w:val="000000"/>
              </w:rPr>
            </w:pPr>
            <w:r w:rsidRPr="00831E0D">
              <w:rPr>
                <w:rFonts w:asciiTheme="majorBidi" w:hAnsiTheme="majorBidi" w:cstheme="majorBidi"/>
                <w:b/>
                <w:bCs/>
                <w:color w:val="000000"/>
              </w:rPr>
              <w:t>Unité</w:t>
            </w:r>
          </w:p>
        </w:tc>
        <w:tc>
          <w:tcPr>
            <w:tcW w:w="2149" w:type="dxa"/>
            <w:vMerge w:val="restart"/>
            <w:noWrap/>
            <w:vAlign w:val="center"/>
            <w:hideMark/>
          </w:tcPr>
          <w:p w:rsidR="00185C42" w:rsidRPr="00831E0D" w:rsidRDefault="00185C42" w:rsidP="008C3239">
            <w:pPr>
              <w:jc w:val="center"/>
              <w:rPr>
                <w:rFonts w:asciiTheme="majorBidi" w:hAnsiTheme="majorBidi" w:cstheme="majorBidi"/>
                <w:b/>
                <w:bCs/>
                <w:color w:val="000000"/>
              </w:rPr>
            </w:pPr>
          </w:p>
          <w:p w:rsidR="00185C42" w:rsidRPr="00831E0D" w:rsidRDefault="00185C42" w:rsidP="008C3239">
            <w:pPr>
              <w:jc w:val="center"/>
              <w:rPr>
                <w:rFonts w:asciiTheme="majorBidi" w:hAnsiTheme="majorBidi" w:cstheme="majorBidi"/>
                <w:b/>
                <w:bCs/>
                <w:color w:val="000000"/>
              </w:rPr>
            </w:pPr>
            <w:r w:rsidRPr="00831E0D">
              <w:rPr>
                <w:rFonts w:asciiTheme="majorBidi" w:hAnsiTheme="majorBidi" w:cstheme="majorBidi"/>
                <w:b/>
                <w:bCs/>
                <w:color w:val="000000"/>
              </w:rPr>
              <w:t>Valeurs</w:t>
            </w:r>
          </w:p>
        </w:tc>
      </w:tr>
      <w:tr w:rsidR="00185C42" w:rsidRPr="00831E0D" w:rsidTr="008C3239">
        <w:trPr>
          <w:trHeight w:val="253"/>
          <w:jc w:val="center"/>
        </w:trPr>
        <w:tc>
          <w:tcPr>
            <w:tcW w:w="4178" w:type="dxa"/>
            <w:vMerge/>
            <w:vAlign w:val="center"/>
            <w:hideMark/>
          </w:tcPr>
          <w:p w:rsidR="00185C42" w:rsidRPr="00831E0D" w:rsidRDefault="00185C42" w:rsidP="008C3239">
            <w:pPr>
              <w:rPr>
                <w:rFonts w:asciiTheme="majorBidi" w:hAnsiTheme="majorBidi" w:cstheme="majorBidi"/>
              </w:rPr>
            </w:pPr>
          </w:p>
        </w:tc>
        <w:tc>
          <w:tcPr>
            <w:tcW w:w="1435" w:type="dxa"/>
            <w:vMerge/>
            <w:vAlign w:val="center"/>
            <w:hideMark/>
          </w:tcPr>
          <w:p w:rsidR="00185C42" w:rsidRPr="00831E0D" w:rsidRDefault="00185C42" w:rsidP="008C3239">
            <w:pPr>
              <w:rPr>
                <w:rFonts w:asciiTheme="majorBidi" w:hAnsiTheme="majorBidi" w:cstheme="majorBidi"/>
              </w:rPr>
            </w:pPr>
          </w:p>
        </w:tc>
        <w:tc>
          <w:tcPr>
            <w:tcW w:w="1433" w:type="dxa"/>
            <w:vMerge/>
            <w:vAlign w:val="center"/>
            <w:hideMark/>
          </w:tcPr>
          <w:p w:rsidR="00185C42" w:rsidRPr="00831E0D" w:rsidRDefault="00185C42" w:rsidP="008C3239">
            <w:pPr>
              <w:rPr>
                <w:rFonts w:asciiTheme="majorBidi" w:hAnsiTheme="majorBidi" w:cstheme="majorBidi"/>
              </w:rPr>
            </w:pPr>
          </w:p>
        </w:tc>
        <w:tc>
          <w:tcPr>
            <w:tcW w:w="2149" w:type="dxa"/>
            <w:vMerge/>
            <w:vAlign w:val="center"/>
            <w:hideMark/>
          </w:tcPr>
          <w:p w:rsidR="00185C42" w:rsidRPr="00831E0D" w:rsidRDefault="00185C42" w:rsidP="008C3239">
            <w:pPr>
              <w:rPr>
                <w:rFonts w:asciiTheme="majorBidi" w:hAnsiTheme="majorBidi" w:cstheme="majorBidi"/>
                <w:color w:val="000000"/>
              </w:rPr>
            </w:pP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Surface</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A</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Km²</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1300</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Périmètre</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P</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217.71</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 Longueur du bassin versant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L</w:t>
            </w:r>
            <w:r w:rsidRPr="00831E0D">
              <w:rPr>
                <w:rFonts w:asciiTheme="majorBidi" w:hAnsiTheme="majorBidi" w:cstheme="majorBidi"/>
                <w:vertAlign w:val="subscript"/>
              </w:rPr>
              <w:t>BV</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rPr>
              <w:t>81.43</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 Longueur du talweg principal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L</w:t>
            </w:r>
            <w:r w:rsidRPr="00831E0D">
              <w:rPr>
                <w:rFonts w:asciiTheme="majorBidi" w:hAnsiTheme="majorBidi" w:cstheme="majorBidi"/>
                <w:vertAlign w:val="subscript"/>
              </w:rPr>
              <w:t>CP</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103.35</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Longueur maximale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color w:val="000000"/>
              </w:rPr>
              <w:t>L</w:t>
            </w:r>
            <w:r w:rsidRPr="00831E0D">
              <w:rPr>
                <w:rFonts w:asciiTheme="majorBidi" w:hAnsiTheme="majorBidi" w:cstheme="majorBidi"/>
                <w:color w:val="000000"/>
                <w:vertAlign w:val="subscript"/>
              </w:rPr>
              <w:t>max</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104.84</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 Largeur du bassin versant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l</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15.96</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Indice de compacité de Gravelius</w:t>
            </w:r>
          </w:p>
        </w:tc>
        <w:tc>
          <w:tcPr>
            <w:tcW w:w="1435" w:type="dxa"/>
            <w:noWrap/>
            <w:vAlign w:val="center"/>
            <w:hideMark/>
          </w:tcPr>
          <w:p w:rsidR="00185C42" w:rsidRPr="00831E0D" w:rsidRDefault="00152C7F" w:rsidP="008C3239">
            <w:pPr>
              <w:jc w:val="center"/>
              <w:rPr>
                <w:rFonts w:asciiTheme="majorBidi" w:hAnsiTheme="majorBidi" w:cstheme="majorBidi"/>
              </w:rPr>
            </w:pPr>
            <m:oMathPara>
              <m:oMath>
                <m:sSub>
                  <m:sSubPr>
                    <m:ctrlPr>
                      <w:rPr>
                        <w:rFonts w:asciiTheme="majorBidi" w:hAnsiTheme="majorBidi" w:cstheme="majorBidi"/>
                        <w:iCs/>
                      </w:rPr>
                    </m:ctrlPr>
                  </m:sSubPr>
                  <m:e>
                    <m:r>
                      <m:rPr>
                        <m:sty m:val="p"/>
                      </m:rPr>
                      <w:rPr>
                        <w:rFonts w:asciiTheme="majorBidi" w:hAnsiTheme="majorBidi" w:cstheme="majorBidi"/>
                      </w:rPr>
                      <m:t>K</m:t>
                    </m:r>
                  </m:e>
                  <m:sub>
                    <m:r>
                      <m:rPr>
                        <m:sty m:val="p"/>
                      </m:rPr>
                      <w:rPr>
                        <w:rFonts w:asciiTheme="majorBidi" w:hAnsiTheme="majorBidi" w:cstheme="majorBidi"/>
                      </w:rPr>
                      <m:t>G</m:t>
                    </m:r>
                  </m:sub>
                </m:sSub>
              </m:oMath>
            </m:oMathPara>
          </w:p>
        </w:tc>
        <w:tc>
          <w:tcPr>
            <w:tcW w:w="1433" w:type="dxa"/>
            <w:noWrap/>
            <w:vAlign w:val="center"/>
            <w:hideMark/>
          </w:tcPr>
          <w:p w:rsidR="00185C42" w:rsidRPr="00831E0D" w:rsidRDefault="00185C42" w:rsidP="008C3239">
            <w:pPr>
              <w:jc w:val="center"/>
              <w:rPr>
                <w:rFonts w:asciiTheme="majorBidi" w:hAnsiTheme="majorBidi" w:cstheme="majorBidi"/>
              </w:rPr>
            </w:pP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1.69</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L’altitude maximale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Z</w:t>
            </w:r>
            <w:r w:rsidRPr="00831E0D">
              <w:rPr>
                <w:rFonts w:asciiTheme="majorBidi" w:hAnsiTheme="majorBidi" w:cstheme="majorBidi"/>
                <w:vertAlign w:val="subscript"/>
              </w:rPr>
              <w:t>MAX</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3228</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L’altitude minimale</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Z</w:t>
            </w:r>
            <w:r w:rsidRPr="00831E0D">
              <w:rPr>
                <w:rFonts w:asciiTheme="majorBidi" w:hAnsiTheme="majorBidi" w:cstheme="majorBidi"/>
                <w:vertAlign w:val="subscript"/>
              </w:rPr>
              <w:t>MIN</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150</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l'altitude à 95%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color w:val="000000"/>
              </w:rPr>
              <w:t>Z</w:t>
            </w:r>
            <w:r w:rsidRPr="00831E0D">
              <w:rPr>
                <w:rFonts w:asciiTheme="majorBidi" w:hAnsiTheme="majorBidi" w:cstheme="majorBidi"/>
                <w:color w:val="000000"/>
                <w:vertAlign w:val="subscript"/>
              </w:rPr>
              <w:t>95%</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536.34</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l'altitude à 50% </w:t>
            </w:r>
          </w:p>
        </w:tc>
        <w:tc>
          <w:tcPr>
            <w:tcW w:w="1435"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color w:val="000000"/>
              </w:rPr>
              <w:t>Z</w:t>
            </w:r>
            <w:r w:rsidRPr="00831E0D">
              <w:rPr>
                <w:rFonts w:asciiTheme="majorBidi" w:hAnsiTheme="majorBidi" w:cstheme="majorBidi"/>
                <w:color w:val="000000"/>
                <w:vertAlign w:val="subscript"/>
              </w:rPr>
              <w:t>50%</w:t>
            </w:r>
          </w:p>
        </w:tc>
        <w:tc>
          <w:tcPr>
            <w:tcW w:w="1433"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1383.47</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rPr>
            </w:pPr>
            <w:r w:rsidRPr="00831E0D">
              <w:rPr>
                <w:rFonts w:asciiTheme="majorBidi" w:hAnsiTheme="majorBidi" w:cstheme="majorBidi"/>
              </w:rPr>
              <w:t xml:space="preserve">l'altitude à 5% </w:t>
            </w:r>
          </w:p>
        </w:tc>
        <w:tc>
          <w:tcPr>
            <w:tcW w:w="1435"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Z</w:t>
            </w:r>
            <w:r w:rsidRPr="00831E0D">
              <w:rPr>
                <w:rFonts w:asciiTheme="majorBidi" w:hAnsiTheme="majorBidi" w:cstheme="majorBidi"/>
                <w:color w:val="000000"/>
                <w:vertAlign w:val="subscript"/>
              </w:rPr>
              <w:t>5%</w:t>
            </w:r>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1978.70</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L'altitude moyenne </w:t>
            </w:r>
          </w:p>
        </w:tc>
        <w:tc>
          <w:tcPr>
            <w:tcW w:w="1435" w:type="dxa"/>
            <w:noWrap/>
            <w:vAlign w:val="center"/>
            <w:hideMark/>
          </w:tcPr>
          <w:p w:rsidR="00185C42" w:rsidRPr="00831E0D" w:rsidRDefault="00152C7F" w:rsidP="008C3239">
            <w:pPr>
              <w:jc w:val="center"/>
              <w:rPr>
                <w:rFonts w:asciiTheme="majorBidi" w:hAnsiTheme="majorBidi" w:cstheme="majorBidi"/>
                <w:color w:val="000000"/>
              </w:rPr>
            </w:pPr>
            <m:oMathPara>
              <m:oMath>
                <m:sSub>
                  <m:sSubPr>
                    <m:ctrlPr>
                      <w:rPr>
                        <w:rFonts w:asciiTheme="majorBidi" w:hAnsiTheme="majorBidi" w:cstheme="majorBidi"/>
                        <w:iCs/>
                      </w:rPr>
                    </m:ctrlPr>
                  </m:sSubPr>
                  <m:e>
                    <m:r>
                      <m:rPr>
                        <m:sty m:val="p"/>
                      </m:rPr>
                      <w:rPr>
                        <w:rFonts w:asciiTheme="majorBidi" w:hAnsiTheme="majorBidi" w:cstheme="majorBidi"/>
                      </w:rPr>
                      <m:t>H</m:t>
                    </m:r>
                  </m:e>
                  <m:sub>
                    <m:r>
                      <m:rPr>
                        <m:sty m:val="p"/>
                      </m:rPr>
                      <w:rPr>
                        <w:rFonts w:asciiTheme="majorBidi" w:hAnsiTheme="majorBidi" w:cstheme="majorBidi"/>
                      </w:rPr>
                      <m:t>moy</m:t>
                    </m:r>
                  </m:sub>
                </m:sSub>
              </m:oMath>
            </m:oMathPara>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1143</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La dénivelée simple </w:t>
            </w:r>
          </w:p>
        </w:tc>
        <w:tc>
          <w:tcPr>
            <w:tcW w:w="1435"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D</w:t>
            </w:r>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1443</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Longueur du rectangle équivalent</w:t>
            </w:r>
          </w:p>
        </w:tc>
        <w:tc>
          <w:tcPr>
            <w:tcW w:w="1435" w:type="dxa"/>
            <w:noWrap/>
            <w:vAlign w:val="center"/>
            <w:hideMark/>
          </w:tcPr>
          <w:p w:rsidR="00185C42" w:rsidRPr="00831E0D" w:rsidRDefault="00152C7F" w:rsidP="008C3239">
            <w:pPr>
              <w:jc w:val="center"/>
              <w:rPr>
                <w:rFonts w:asciiTheme="majorBidi" w:hAnsiTheme="majorBidi" w:cstheme="majorBidi"/>
                <w:color w:val="000000"/>
              </w:rPr>
            </w:pPr>
            <m:oMathPara>
              <m:oMath>
                <m:sSub>
                  <m:sSubPr>
                    <m:ctrlPr>
                      <w:rPr>
                        <w:rFonts w:asciiTheme="majorBidi" w:hAnsiTheme="majorBidi" w:cstheme="majorBidi"/>
                        <w:iCs/>
                      </w:rPr>
                    </m:ctrlPr>
                  </m:sSubPr>
                  <m:e>
                    <m:r>
                      <m:rPr>
                        <m:sty m:val="p"/>
                      </m:rPr>
                      <w:rPr>
                        <w:rFonts w:asciiTheme="majorBidi" w:hAnsiTheme="majorBidi" w:cstheme="majorBidi"/>
                      </w:rPr>
                      <m:t>L</m:t>
                    </m:r>
                  </m:e>
                  <m:sub>
                    <m:r>
                      <m:rPr>
                        <m:sty m:val="p"/>
                      </m:rPr>
                      <w:rPr>
                        <w:rFonts w:asciiTheme="majorBidi" w:hAnsiTheme="majorBidi" w:cstheme="majorBidi"/>
                      </w:rPr>
                      <m:t>rec</m:t>
                    </m:r>
                  </m:sub>
                </m:sSub>
              </m:oMath>
            </m:oMathPara>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95.20</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Largeur du rectangle équivalent</w:t>
            </w:r>
          </w:p>
        </w:tc>
        <w:tc>
          <w:tcPr>
            <w:tcW w:w="1435" w:type="dxa"/>
            <w:noWrap/>
            <w:vAlign w:val="center"/>
            <w:hideMark/>
          </w:tcPr>
          <w:p w:rsidR="00185C42" w:rsidRPr="00831E0D" w:rsidRDefault="00152C7F" w:rsidP="008C3239">
            <w:pPr>
              <w:jc w:val="center"/>
              <w:rPr>
                <w:rFonts w:asciiTheme="majorBidi" w:hAnsiTheme="majorBidi" w:cstheme="majorBidi"/>
                <w:color w:val="000000"/>
              </w:rPr>
            </w:pPr>
            <m:oMathPara>
              <m:oMath>
                <m:sSub>
                  <m:sSubPr>
                    <m:ctrlPr>
                      <w:rPr>
                        <w:rFonts w:asciiTheme="majorBidi" w:hAnsiTheme="majorBidi" w:cstheme="majorBidi"/>
                        <w:iCs/>
                      </w:rPr>
                    </m:ctrlPr>
                  </m:sSubPr>
                  <m:e>
                    <m:r>
                      <m:rPr>
                        <m:sty m:val="p"/>
                      </m:rPr>
                      <w:rPr>
                        <w:rFonts w:asciiTheme="majorBidi" w:hAnsiTheme="majorBidi" w:cstheme="majorBidi"/>
                      </w:rPr>
                      <m:t>l</m:t>
                    </m:r>
                  </m:e>
                  <m:sub>
                    <m:r>
                      <m:rPr>
                        <m:sty m:val="p"/>
                      </m:rPr>
                      <w:rPr>
                        <w:rFonts w:asciiTheme="majorBidi" w:hAnsiTheme="majorBidi" w:cstheme="majorBidi"/>
                      </w:rPr>
                      <m:t>rec</m:t>
                    </m:r>
                  </m:sub>
                </m:sSub>
              </m:oMath>
            </m:oMathPara>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Km</w:t>
            </w:r>
          </w:p>
        </w:tc>
        <w:tc>
          <w:tcPr>
            <w:tcW w:w="2149"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13.66</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Pente moyenne</w:t>
            </w:r>
          </w:p>
        </w:tc>
        <w:tc>
          <w:tcPr>
            <w:tcW w:w="1435" w:type="dxa"/>
            <w:noWrap/>
            <w:vAlign w:val="center"/>
            <w:hideMark/>
          </w:tcPr>
          <w:p w:rsidR="00185C42" w:rsidRPr="00831E0D" w:rsidRDefault="00152C7F" w:rsidP="008C3239">
            <w:pPr>
              <w:jc w:val="center"/>
              <w:rPr>
                <w:rFonts w:asciiTheme="majorBidi" w:hAnsiTheme="majorBidi" w:cstheme="majorBidi"/>
                <w:color w:val="FF0000"/>
              </w:rPr>
            </w:pPr>
            <m:oMathPara>
              <m:oMath>
                <m:sSub>
                  <m:sSubPr>
                    <m:ctrlPr>
                      <w:rPr>
                        <w:rFonts w:asciiTheme="majorBidi" w:hAnsiTheme="majorBidi" w:cstheme="majorBidi"/>
                        <w:iCs/>
                      </w:rPr>
                    </m:ctrlPr>
                  </m:sSubPr>
                  <m:e>
                    <m:r>
                      <m:rPr>
                        <m:sty m:val="p"/>
                      </m:rPr>
                      <w:rPr>
                        <w:rFonts w:asciiTheme="majorBidi" w:hAnsiTheme="majorBidi" w:cstheme="majorBidi"/>
                      </w:rPr>
                      <m:t>i</m:t>
                    </m:r>
                  </m:e>
                  <m:sub>
                    <m:r>
                      <m:rPr>
                        <m:sty m:val="p"/>
                      </m:rPr>
                      <w:rPr>
                        <w:rFonts w:asciiTheme="majorBidi" w:hAnsiTheme="majorBidi" w:cstheme="majorBidi"/>
                      </w:rPr>
                      <m:t>m</m:t>
                    </m:r>
                  </m:sub>
                </m:sSub>
              </m:oMath>
            </m:oMathPara>
          </w:p>
        </w:tc>
        <w:tc>
          <w:tcPr>
            <w:tcW w:w="1433" w:type="dxa"/>
            <w:noWrap/>
            <w:vAlign w:val="center"/>
            <w:hideMark/>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m/Km</w:t>
            </w:r>
          </w:p>
        </w:tc>
        <w:tc>
          <w:tcPr>
            <w:tcW w:w="2149"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19.78</w:t>
            </w:r>
          </w:p>
        </w:tc>
      </w:tr>
      <w:tr w:rsidR="00185C42" w:rsidRPr="00831E0D" w:rsidTr="008C3239">
        <w:trPr>
          <w:trHeight w:val="397"/>
          <w:jc w:val="center"/>
        </w:trPr>
        <w:tc>
          <w:tcPr>
            <w:tcW w:w="4178" w:type="dxa"/>
            <w:noWrap/>
            <w:vAlign w:val="center"/>
            <w:hideMark/>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Indice de pente de Roche </w:t>
            </w:r>
          </w:p>
        </w:tc>
        <w:tc>
          <w:tcPr>
            <w:tcW w:w="1435" w:type="dxa"/>
            <w:noWrap/>
            <w:vAlign w:val="center"/>
            <w:hideMark/>
          </w:tcPr>
          <w:p w:rsidR="00185C42" w:rsidRPr="00831E0D" w:rsidRDefault="00185C42" w:rsidP="008C3239">
            <w:pPr>
              <w:jc w:val="center"/>
              <w:rPr>
                <w:rFonts w:asciiTheme="majorBidi" w:hAnsiTheme="majorBidi" w:cstheme="majorBidi"/>
                <w:color w:val="000000"/>
                <w:highlight w:val="yellow"/>
              </w:rPr>
            </w:pPr>
            <w:r w:rsidRPr="00831E0D">
              <w:rPr>
                <w:rFonts w:asciiTheme="majorBidi" w:hAnsiTheme="majorBidi" w:cstheme="majorBidi"/>
              </w:rPr>
              <w:t>I</w:t>
            </w:r>
            <w:r w:rsidRPr="00831E0D">
              <w:rPr>
                <w:rFonts w:asciiTheme="majorBidi" w:hAnsiTheme="majorBidi" w:cstheme="majorBidi"/>
                <w:vertAlign w:val="subscript"/>
              </w:rPr>
              <w:t>P</w:t>
            </w:r>
          </w:p>
        </w:tc>
        <w:tc>
          <w:tcPr>
            <w:tcW w:w="1433" w:type="dxa"/>
            <w:noWrap/>
            <w:vAlign w:val="center"/>
            <w:hideMark/>
          </w:tcPr>
          <w:p w:rsidR="00185C42" w:rsidRPr="00831E0D" w:rsidRDefault="00185C42" w:rsidP="008C3239">
            <w:pPr>
              <w:jc w:val="center"/>
              <w:rPr>
                <w:rFonts w:asciiTheme="majorBidi" w:hAnsiTheme="majorBidi" w:cstheme="majorBidi"/>
                <w:color w:val="000000"/>
                <w:highlight w:val="yellow"/>
              </w:rPr>
            </w:pPr>
            <w:r w:rsidRPr="00831E0D">
              <w:rPr>
                <w:rFonts w:asciiTheme="majorBidi" w:hAnsiTheme="majorBidi" w:cstheme="majorBidi"/>
                <w:color w:val="000000"/>
              </w:rPr>
              <w:t>m/Km</w:t>
            </w:r>
          </w:p>
        </w:tc>
        <w:tc>
          <w:tcPr>
            <w:tcW w:w="2149" w:type="dxa"/>
            <w:noWrap/>
            <w:vAlign w:val="center"/>
            <w:hideMark/>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13 .53</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Indice de pente global </w:t>
            </w:r>
          </w:p>
        </w:tc>
        <w:tc>
          <w:tcPr>
            <w:tcW w:w="1435" w:type="dxa"/>
            <w:noWrap/>
            <w:vAlign w:val="center"/>
          </w:tcPr>
          <w:p w:rsidR="00185C42" w:rsidRPr="00831E0D" w:rsidRDefault="00152C7F" w:rsidP="008C3239">
            <w:pPr>
              <w:jc w:val="center"/>
              <w:rPr>
                <w:rFonts w:asciiTheme="majorBidi" w:hAnsiTheme="majorBidi" w:cstheme="majorBidi"/>
                <w:color w:val="000000"/>
              </w:rPr>
            </w:pPr>
            <m:oMathPara>
              <m:oMath>
                <m:sSub>
                  <m:sSubPr>
                    <m:ctrlPr>
                      <w:rPr>
                        <w:rFonts w:asciiTheme="majorBidi" w:hAnsiTheme="majorBidi" w:cstheme="majorBidi"/>
                        <w:color w:val="000000"/>
                      </w:rPr>
                    </m:ctrlPr>
                  </m:sSubPr>
                  <m:e>
                    <m:r>
                      <m:rPr>
                        <m:sty m:val="p"/>
                      </m:rPr>
                      <w:rPr>
                        <w:rFonts w:asciiTheme="majorBidi" w:hAnsiTheme="majorBidi" w:cstheme="majorBidi"/>
                        <w:color w:val="000000"/>
                      </w:rPr>
                      <m:t>I</m:t>
                    </m:r>
                  </m:e>
                  <m:sub>
                    <m:r>
                      <m:rPr>
                        <m:sty m:val="p"/>
                      </m:rPr>
                      <w:rPr>
                        <w:rFonts w:asciiTheme="majorBidi" w:hAnsiTheme="majorBidi" w:cstheme="majorBidi"/>
                        <w:color w:val="000000"/>
                      </w:rPr>
                      <m:t>g</m:t>
                    </m:r>
                  </m:sub>
                </m:sSub>
              </m:oMath>
            </m:oMathPara>
          </w:p>
        </w:tc>
        <w:tc>
          <w:tcPr>
            <w:tcW w:w="1433"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m/Km</w:t>
            </w:r>
          </w:p>
        </w:tc>
        <w:tc>
          <w:tcPr>
            <w:tcW w:w="2149" w:type="dxa"/>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15.16</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Dénivelée spécifique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Ds</w:t>
            </w:r>
          </w:p>
        </w:tc>
        <w:tc>
          <w:tcPr>
            <w:tcW w:w="1433"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w:t>
            </w:r>
          </w:p>
        </w:tc>
        <w:tc>
          <w:tcPr>
            <w:tcW w:w="2149" w:type="dxa"/>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546.6</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pente moyenne d’un cours d’eau principal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I</w:t>
            </w:r>
          </w:p>
        </w:tc>
        <w:tc>
          <w:tcPr>
            <w:tcW w:w="1433"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m/Km</w:t>
            </w:r>
          </w:p>
        </w:tc>
        <w:tc>
          <w:tcPr>
            <w:tcW w:w="2149" w:type="dxa"/>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13.60</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Densité de drainage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D</w:t>
            </w:r>
            <w:r w:rsidRPr="00831E0D">
              <w:rPr>
                <w:rFonts w:asciiTheme="majorBidi" w:hAnsiTheme="majorBidi" w:cstheme="majorBidi"/>
                <w:color w:val="000000"/>
                <w:vertAlign w:val="subscript"/>
              </w:rPr>
              <w:t>d</w:t>
            </w:r>
          </w:p>
        </w:tc>
        <w:tc>
          <w:tcPr>
            <w:tcW w:w="1433"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Km</w:t>
            </w:r>
            <w:r w:rsidRPr="00831E0D">
              <w:rPr>
                <w:rFonts w:asciiTheme="majorBidi" w:hAnsiTheme="majorBidi" w:cstheme="majorBidi"/>
                <w:color w:val="000000"/>
                <w:vertAlign w:val="superscript"/>
              </w:rPr>
              <w:t>-1</w:t>
            </w:r>
          </w:p>
        </w:tc>
        <w:tc>
          <w:tcPr>
            <w:tcW w:w="2149" w:type="dxa"/>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3.8</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La densité hydrographique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F</w:t>
            </w:r>
          </w:p>
        </w:tc>
        <w:tc>
          <w:tcPr>
            <w:tcW w:w="1433"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Km-²</w:t>
            </w:r>
          </w:p>
        </w:tc>
        <w:tc>
          <w:tcPr>
            <w:tcW w:w="2149"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10.83</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rapport de confluence des cours d’eau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rPr>
              <w:t>R</w:t>
            </w:r>
            <w:r w:rsidRPr="00831E0D">
              <w:rPr>
                <w:rFonts w:asciiTheme="majorBidi" w:hAnsiTheme="majorBidi" w:cstheme="majorBidi"/>
                <w:vertAlign w:val="subscript"/>
              </w:rPr>
              <w:t>C</w:t>
            </w:r>
          </w:p>
        </w:tc>
        <w:tc>
          <w:tcPr>
            <w:tcW w:w="1433" w:type="dxa"/>
            <w:noWrap/>
            <w:vAlign w:val="center"/>
          </w:tcPr>
          <w:p w:rsidR="00185C42" w:rsidRPr="00831E0D" w:rsidRDefault="00185C42" w:rsidP="008C3239">
            <w:pPr>
              <w:jc w:val="center"/>
              <w:rPr>
                <w:rFonts w:asciiTheme="majorBidi" w:hAnsiTheme="majorBidi" w:cstheme="majorBidi"/>
                <w:color w:val="000000"/>
              </w:rPr>
            </w:pPr>
          </w:p>
        </w:tc>
        <w:tc>
          <w:tcPr>
            <w:tcW w:w="2149"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3.91</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rapport des langueurs des cours d’eau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R</w:t>
            </w:r>
            <w:r w:rsidRPr="00831E0D">
              <w:rPr>
                <w:rFonts w:asciiTheme="majorBidi" w:hAnsiTheme="majorBidi" w:cstheme="majorBidi"/>
                <w:color w:val="000000"/>
                <w:vertAlign w:val="subscript"/>
              </w:rPr>
              <w:t>L</w:t>
            </w:r>
          </w:p>
        </w:tc>
        <w:tc>
          <w:tcPr>
            <w:tcW w:w="1433" w:type="dxa"/>
            <w:noWrap/>
            <w:vAlign w:val="center"/>
          </w:tcPr>
          <w:p w:rsidR="00185C42" w:rsidRPr="00831E0D" w:rsidRDefault="00185C42" w:rsidP="008C3239">
            <w:pPr>
              <w:jc w:val="center"/>
              <w:rPr>
                <w:rFonts w:asciiTheme="majorBidi" w:hAnsiTheme="majorBidi" w:cstheme="majorBidi"/>
                <w:color w:val="000000"/>
              </w:rPr>
            </w:pPr>
          </w:p>
        </w:tc>
        <w:tc>
          <w:tcPr>
            <w:tcW w:w="2149"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2.00</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color w:val="000000"/>
              </w:rPr>
              <w:t xml:space="preserve">Le coefficient d’élancement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CE</w:t>
            </w:r>
          </w:p>
        </w:tc>
        <w:tc>
          <w:tcPr>
            <w:tcW w:w="1433" w:type="dxa"/>
            <w:noWrap/>
            <w:vAlign w:val="center"/>
          </w:tcPr>
          <w:p w:rsidR="00185C42" w:rsidRPr="00831E0D" w:rsidRDefault="00185C42" w:rsidP="008C3239">
            <w:pPr>
              <w:jc w:val="center"/>
              <w:rPr>
                <w:rFonts w:asciiTheme="majorBidi" w:hAnsiTheme="majorBidi" w:cstheme="majorBidi"/>
                <w:color w:val="000000"/>
              </w:rPr>
            </w:pPr>
          </w:p>
        </w:tc>
        <w:tc>
          <w:tcPr>
            <w:tcW w:w="2149"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0.39</w:t>
            </w:r>
          </w:p>
        </w:tc>
      </w:tr>
      <w:tr w:rsidR="00185C42" w:rsidRPr="00831E0D" w:rsidTr="008C3239">
        <w:trPr>
          <w:trHeight w:val="397"/>
          <w:jc w:val="center"/>
        </w:trPr>
        <w:tc>
          <w:tcPr>
            <w:tcW w:w="4178" w:type="dxa"/>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rPr>
              <w:t>Coefficient de torrentialité </w:t>
            </w:r>
          </w:p>
        </w:tc>
        <w:tc>
          <w:tcPr>
            <w:tcW w:w="1435"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rPr>
              <w:t>Ct</w:t>
            </w:r>
          </w:p>
        </w:tc>
        <w:tc>
          <w:tcPr>
            <w:tcW w:w="1433" w:type="dxa"/>
            <w:noWrap/>
            <w:vAlign w:val="center"/>
          </w:tcPr>
          <w:p w:rsidR="00185C42" w:rsidRPr="00831E0D" w:rsidRDefault="00185C42" w:rsidP="008C3239">
            <w:pPr>
              <w:jc w:val="center"/>
              <w:rPr>
                <w:rFonts w:asciiTheme="majorBidi" w:hAnsiTheme="majorBidi" w:cstheme="majorBidi"/>
                <w:color w:val="000000"/>
              </w:rPr>
            </w:pPr>
          </w:p>
        </w:tc>
        <w:tc>
          <w:tcPr>
            <w:tcW w:w="2149" w:type="dxa"/>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color w:val="000000"/>
              </w:rPr>
              <w:t>26.00</w:t>
            </w:r>
          </w:p>
        </w:tc>
      </w:tr>
      <w:tr w:rsidR="00185C42" w:rsidRPr="00831E0D" w:rsidTr="008C3239">
        <w:trPr>
          <w:trHeight w:val="397"/>
          <w:jc w:val="center"/>
        </w:trPr>
        <w:tc>
          <w:tcPr>
            <w:tcW w:w="4178" w:type="dxa"/>
            <w:tcBorders>
              <w:bottom w:val="single" w:sz="4" w:space="0" w:color="auto"/>
            </w:tcBorders>
            <w:noWrap/>
            <w:vAlign w:val="center"/>
          </w:tcPr>
          <w:p w:rsidR="00185C42" w:rsidRPr="00831E0D" w:rsidRDefault="00185C42" w:rsidP="008C3239">
            <w:pPr>
              <w:rPr>
                <w:rFonts w:asciiTheme="majorBidi" w:hAnsiTheme="majorBidi" w:cstheme="majorBidi"/>
                <w:color w:val="000000"/>
              </w:rPr>
            </w:pPr>
            <w:r w:rsidRPr="00831E0D">
              <w:rPr>
                <w:rFonts w:asciiTheme="majorBidi" w:hAnsiTheme="majorBidi" w:cstheme="majorBidi"/>
              </w:rPr>
              <w:t xml:space="preserve">Temps de concentration: </w:t>
            </w:r>
          </w:p>
        </w:tc>
        <w:tc>
          <w:tcPr>
            <w:tcW w:w="1435" w:type="dxa"/>
            <w:tcBorders>
              <w:bottom w:val="single" w:sz="4" w:space="0" w:color="auto"/>
            </w:tcBorders>
            <w:noWrap/>
            <w:vAlign w:val="center"/>
          </w:tcPr>
          <w:p w:rsidR="00185C42" w:rsidRPr="00831E0D" w:rsidRDefault="00185C42" w:rsidP="008C3239">
            <w:pPr>
              <w:jc w:val="center"/>
              <w:rPr>
                <w:rFonts w:asciiTheme="majorBidi" w:hAnsiTheme="majorBidi" w:cstheme="majorBidi"/>
                <w:vertAlign w:val="subscript"/>
              </w:rPr>
            </w:pPr>
            <w:r w:rsidRPr="00831E0D">
              <w:rPr>
                <w:rFonts w:asciiTheme="majorBidi" w:hAnsiTheme="majorBidi" w:cstheme="majorBidi"/>
              </w:rPr>
              <w:t>t</w:t>
            </w:r>
            <w:r w:rsidRPr="00831E0D">
              <w:rPr>
                <w:rFonts w:asciiTheme="majorBidi" w:hAnsiTheme="majorBidi" w:cstheme="majorBidi"/>
                <w:vertAlign w:val="subscript"/>
              </w:rPr>
              <w:t>c</w:t>
            </w:r>
          </w:p>
        </w:tc>
        <w:tc>
          <w:tcPr>
            <w:tcW w:w="1433" w:type="dxa"/>
            <w:tcBorders>
              <w:bottom w:val="single" w:sz="4" w:space="0" w:color="auto"/>
            </w:tcBorders>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rPr>
              <w:t>heures</w:t>
            </w:r>
          </w:p>
        </w:tc>
        <w:tc>
          <w:tcPr>
            <w:tcW w:w="2149" w:type="dxa"/>
            <w:tcBorders>
              <w:bottom w:val="single" w:sz="4" w:space="0" w:color="auto"/>
            </w:tcBorders>
            <w:noWrap/>
            <w:vAlign w:val="center"/>
          </w:tcPr>
          <w:p w:rsidR="00185C42" w:rsidRPr="00831E0D" w:rsidRDefault="00185C42" w:rsidP="008C3239">
            <w:pPr>
              <w:jc w:val="center"/>
              <w:rPr>
                <w:rFonts w:asciiTheme="majorBidi" w:hAnsiTheme="majorBidi" w:cstheme="majorBidi"/>
                <w:color w:val="000000"/>
              </w:rPr>
            </w:pPr>
            <w:r w:rsidRPr="00831E0D">
              <w:rPr>
                <w:rFonts w:asciiTheme="majorBidi" w:hAnsiTheme="majorBidi" w:cstheme="majorBidi"/>
              </w:rPr>
              <w:t>12</w:t>
            </w:r>
          </w:p>
        </w:tc>
      </w:tr>
      <w:tr w:rsidR="00185C42" w:rsidRPr="00831E0D" w:rsidTr="008C3239">
        <w:trPr>
          <w:trHeight w:val="397"/>
          <w:jc w:val="center"/>
        </w:trPr>
        <w:tc>
          <w:tcPr>
            <w:tcW w:w="4178" w:type="dxa"/>
            <w:tcBorders>
              <w:top w:val="single" w:sz="4" w:space="0" w:color="auto"/>
            </w:tcBorders>
            <w:noWrap/>
            <w:vAlign w:val="center"/>
          </w:tcPr>
          <w:p w:rsidR="00185C42" w:rsidRPr="00831E0D" w:rsidRDefault="00185C42" w:rsidP="008C3239">
            <w:pPr>
              <w:rPr>
                <w:rFonts w:asciiTheme="majorBidi" w:hAnsiTheme="majorBidi" w:cstheme="majorBidi"/>
              </w:rPr>
            </w:pPr>
            <w:r w:rsidRPr="00831E0D">
              <w:rPr>
                <w:rFonts w:asciiTheme="majorBidi" w:hAnsiTheme="majorBidi" w:cstheme="majorBidi"/>
              </w:rPr>
              <w:t>Vitesse de concentration</w:t>
            </w:r>
          </w:p>
        </w:tc>
        <w:tc>
          <w:tcPr>
            <w:tcW w:w="1435" w:type="dxa"/>
            <w:tcBorders>
              <w:top w:val="single" w:sz="4" w:space="0" w:color="auto"/>
            </w:tcBorders>
            <w:noWrap/>
            <w:vAlign w:val="center"/>
          </w:tcPr>
          <w:p w:rsidR="00185C42" w:rsidRPr="00831E0D" w:rsidRDefault="00185C42" w:rsidP="008C3239">
            <w:pPr>
              <w:jc w:val="center"/>
              <w:rPr>
                <w:rFonts w:asciiTheme="majorBidi" w:hAnsiTheme="majorBidi" w:cstheme="majorBidi"/>
              </w:rPr>
            </w:pPr>
            <w:r w:rsidRPr="00831E0D">
              <w:rPr>
                <w:rFonts w:asciiTheme="majorBidi" w:hAnsiTheme="majorBidi" w:cstheme="majorBidi"/>
                <w:color w:val="000000"/>
              </w:rPr>
              <w:t>v</w:t>
            </w:r>
            <w:r w:rsidRPr="00831E0D">
              <w:rPr>
                <w:rFonts w:asciiTheme="majorBidi" w:hAnsiTheme="majorBidi" w:cstheme="majorBidi"/>
                <w:color w:val="000000"/>
                <w:vertAlign w:val="subscript"/>
              </w:rPr>
              <w:t>c</w:t>
            </w:r>
          </w:p>
        </w:tc>
        <w:tc>
          <w:tcPr>
            <w:tcW w:w="1433" w:type="dxa"/>
            <w:tcBorders>
              <w:top w:val="single" w:sz="4" w:space="0" w:color="auto"/>
            </w:tcBorders>
            <w:noWrap/>
            <w:vAlign w:val="center"/>
          </w:tcPr>
          <w:p w:rsidR="00185C42" w:rsidRPr="00831E0D" w:rsidRDefault="00185C42" w:rsidP="008C3239">
            <w:pPr>
              <w:jc w:val="center"/>
              <w:rPr>
                <w:rFonts w:asciiTheme="majorBidi" w:hAnsiTheme="majorBidi" w:cstheme="majorBidi"/>
                <w:b/>
                <w:bCs/>
              </w:rPr>
            </w:pPr>
            <w:r w:rsidRPr="00831E0D">
              <w:rPr>
                <w:rFonts w:asciiTheme="majorBidi" w:hAnsiTheme="majorBidi" w:cstheme="majorBidi"/>
              </w:rPr>
              <w:t>Km/h</w:t>
            </w:r>
          </w:p>
        </w:tc>
        <w:tc>
          <w:tcPr>
            <w:tcW w:w="2149" w:type="dxa"/>
            <w:tcBorders>
              <w:top w:val="single" w:sz="4" w:space="0" w:color="auto"/>
            </w:tcBorders>
            <w:noWrap/>
            <w:vAlign w:val="center"/>
          </w:tcPr>
          <w:p w:rsidR="00185C42" w:rsidRPr="00831E0D" w:rsidRDefault="00185C42" w:rsidP="008C3239">
            <w:pPr>
              <w:jc w:val="center"/>
              <w:rPr>
                <w:rFonts w:asciiTheme="majorBidi" w:hAnsiTheme="majorBidi" w:cstheme="majorBidi"/>
                <w:b/>
                <w:bCs/>
              </w:rPr>
            </w:pPr>
            <w:r w:rsidRPr="00831E0D">
              <w:rPr>
                <w:rFonts w:asciiTheme="majorBidi" w:hAnsiTheme="majorBidi" w:cstheme="majorBidi"/>
                <w:color w:val="000000"/>
              </w:rPr>
              <w:t>8.71</w:t>
            </w:r>
          </w:p>
        </w:tc>
      </w:tr>
    </w:tbl>
    <w:p w:rsidR="00185C42" w:rsidRPr="00BD32DF" w:rsidRDefault="00185C42" w:rsidP="008A4F90">
      <w:pPr>
        <w:tabs>
          <w:tab w:val="left" w:pos="2755"/>
        </w:tabs>
        <w:autoSpaceDE w:val="0"/>
        <w:autoSpaceDN w:val="0"/>
        <w:adjustRightInd w:val="0"/>
        <w:spacing w:after="240" w:line="360" w:lineRule="auto"/>
        <w:jc w:val="center"/>
        <w:rPr>
          <w:rFonts w:asciiTheme="majorBidi" w:hAnsiTheme="majorBidi" w:cstheme="majorBidi"/>
          <w:b/>
          <w:bCs/>
          <w:iCs/>
        </w:rPr>
      </w:pPr>
      <w:r w:rsidRPr="00BD32DF">
        <w:rPr>
          <w:rFonts w:asciiTheme="majorBidi" w:hAnsiTheme="majorBidi" w:cstheme="majorBidi"/>
          <w:b/>
          <w:bCs/>
        </w:rPr>
        <w:t>Tableau (</w:t>
      </w:r>
      <w:r w:rsidR="008A4F90" w:rsidRPr="00AC533E">
        <w:rPr>
          <w:rFonts w:asciiTheme="majorBidi" w:eastAsiaTheme="majorEastAsia" w:hAnsiTheme="majorBidi" w:cstheme="majorBidi"/>
          <w:b/>
          <w:bCs/>
          <w:sz w:val="24"/>
          <w:szCs w:val="24"/>
        </w:rPr>
        <w:t>I</w:t>
      </w:r>
      <w:r w:rsidR="008A4F90" w:rsidRPr="00BD32DF">
        <w:rPr>
          <w:rFonts w:asciiTheme="majorBidi" w:hAnsiTheme="majorBidi" w:cstheme="majorBidi"/>
          <w:b/>
          <w:bCs/>
        </w:rPr>
        <w:t xml:space="preserve"> </w:t>
      </w:r>
      <w:r w:rsidR="008A4F90">
        <w:rPr>
          <w:rFonts w:asciiTheme="majorBidi" w:hAnsiTheme="majorBidi" w:cstheme="majorBidi"/>
          <w:b/>
          <w:bCs/>
        </w:rPr>
        <w:t>.III.1</w:t>
      </w:r>
      <w:r w:rsidRPr="00BD32DF">
        <w:rPr>
          <w:rFonts w:asciiTheme="majorBidi" w:hAnsiTheme="majorBidi" w:cstheme="majorBidi"/>
          <w:b/>
          <w:bCs/>
        </w:rPr>
        <w:t>) : récapitulatif des caractéristiques du B.V d'Oued el Abiod.</w:t>
      </w:r>
    </w:p>
    <w:p w:rsidR="00185C42" w:rsidRPr="00BD32DF" w:rsidRDefault="00185C42" w:rsidP="00185C42">
      <w:pPr>
        <w:autoSpaceDE w:val="0"/>
        <w:autoSpaceDN w:val="0"/>
        <w:adjustRightInd w:val="0"/>
        <w:spacing w:after="240" w:line="360" w:lineRule="auto"/>
        <w:rPr>
          <w:rFonts w:asciiTheme="majorBidi" w:hAnsiTheme="majorBidi" w:cstheme="majorBidi"/>
          <w:b/>
          <w:bCs/>
        </w:rPr>
      </w:pPr>
    </w:p>
    <w:p w:rsidR="00185C42" w:rsidRPr="00BD32DF" w:rsidRDefault="001F62E5" w:rsidP="00185C42">
      <w:pPr>
        <w:autoSpaceDE w:val="0"/>
        <w:autoSpaceDN w:val="0"/>
        <w:adjustRightInd w:val="0"/>
        <w:spacing w:line="360" w:lineRule="auto"/>
        <w:jc w:val="both"/>
        <w:rPr>
          <w:rFonts w:asciiTheme="majorBidi" w:eastAsiaTheme="minorHAnsi" w:hAnsiTheme="majorBidi" w:cstheme="majorBidi"/>
          <w:b/>
          <w:bCs/>
          <w:lang w:eastAsia="en-US"/>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AC533E">
        <w:rPr>
          <w:rFonts w:asciiTheme="majorBidi" w:eastAsiaTheme="minorHAnsi" w:hAnsiTheme="majorBidi" w:cstheme="majorBidi"/>
          <w:b/>
          <w:bCs/>
          <w:lang w:eastAsia="en-US"/>
        </w:rPr>
        <w:t>III.</w:t>
      </w:r>
      <w:r w:rsidR="00831E0D">
        <w:rPr>
          <w:rFonts w:asciiTheme="majorBidi" w:eastAsiaTheme="minorHAnsi" w:hAnsiTheme="majorBidi" w:cstheme="majorBidi"/>
          <w:b/>
          <w:bCs/>
          <w:lang w:eastAsia="en-US"/>
        </w:rPr>
        <w:t>2</w:t>
      </w:r>
      <w:r w:rsidR="00185C42" w:rsidRPr="00BD32DF">
        <w:rPr>
          <w:rFonts w:asciiTheme="majorBidi" w:eastAsiaTheme="minorHAnsi" w:hAnsiTheme="majorBidi" w:cstheme="majorBidi"/>
          <w:b/>
          <w:bCs/>
          <w:lang w:eastAsia="en-US"/>
        </w:rPr>
        <w:t>- Conclusion :</w:t>
      </w:r>
    </w:p>
    <w:p w:rsidR="00185C42" w:rsidRPr="00BD32DF" w:rsidRDefault="00185C42" w:rsidP="008C3239">
      <w:pPr>
        <w:autoSpaceDE w:val="0"/>
        <w:autoSpaceDN w:val="0"/>
        <w:adjustRightInd w:val="0"/>
        <w:spacing w:before="240" w:after="240" w:line="360" w:lineRule="auto"/>
        <w:jc w:val="both"/>
        <w:rPr>
          <w:rFonts w:asciiTheme="majorBidi" w:hAnsiTheme="majorBidi" w:cstheme="majorBidi"/>
        </w:rPr>
      </w:pPr>
      <w:r w:rsidRPr="00BD32DF">
        <w:rPr>
          <w:rFonts w:asciiTheme="majorBidi" w:eastAsiaTheme="minorHAnsi" w:hAnsiTheme="majorBidi" w:cstheme="majorBidi"/>
          <w:lang w:eastAsia="en-US"/>
        </w:rPr>
        <w:t xml:space="preserve">Les résultats des caractéristiques </w:t>
      </w:r>
      <w:r w:rsidR="008C3239">
        <w:rPr>
          <w:rFonts w:asciiTheme="majorBidi" w:eastAsiaTheme="minorHAnsi" w:hAnsiTheme="majorBidi" w:cstheme="majorBidi"/>
          <w:lang w:eastAsia="en-US"/>
        </w:rPr>
        <w:t>morpho</w:t>
      </w:r>
      <w:r w:rsidR="008C3239" w:rsidRPr="00BD32DF">
        <w:rPr>
          <w:rFonts w:asciiTheme="majorBidi" w:eastAsiaTheme="minorHAnsi" w:hAnsiTheme="majorBidi" w:cstheme="majorBidi"/>
          <w:lang w:eastAsia="en-US"/>
        </w:rPr>
        <w:t>métriques</w:t>
      </w:r>
      <w:r w:rsidRPr="00BD32DF">
        <w:rPr>
          <w:rFonts w:asciiTheme="majorBidi" w:eastAsiaTheme="minorHAnsi" w:hAnsiTheme="majorBidi" w:cstheme="majorBidi"/>
          <w:lang w:eastAsia="en-US"/>
        </w:rPr>
        <w:t xml:space="preserve">, montrent que  Le bassin versant de l’Oued Abiod représente une superficie de près de 1 300 km² ; </w:t>
      </w:r>
      <w:r w:rsidRPr="00BD32DF">
        <w:rPr>
          <w:rFonts w:asciiTheme="majorBidi" w:hAnsiTheme="majorBidi" w:cstheme="majorBidi"/>
        </w:rPr>
        <w:t>il a une forme allongée (K</w:t>
      </w:r>
      <w:r w:rsidRPr="00BD32DF">
        <w:rPr>
          <w:rFonts w:asciiTheme="majorBidi" w:hAnsiTheme="majorBidi" w:cstheme="majorBidi"/>
          <w:vertAlign w:val="subscript"/>
        </w:rPr>
        <w:t>G</w:t>
      </w:r>
      <w:r w:rsidRPr="00BD32DF">
        <w:rPr>
          <w:rFonts w:asciiTheme="majorBidi" w:hAnsiTheme="majorBidi" w:cstheme="majorBidi"/>
        </w:rPr>
        <w:t xml:space="preserve">=1.69), </w:t>
      </w:r>
      <w:r w:rsidRPr="00BD32DF">
        <w:rPr>
          <w:rFonts w:asciiTheme="majorBidi" w:hAnsiTheme="majorBidi" w:cstheme="majorBidi"/>
          <w:color w:val="000000"/>
        </w:rPr>
        <w:t>Avec une dénivelée spécifique (D</w:t>
      </w:r>
      <w:r w:rsidRPr="00BD32DF">
        <w:rPr>
          <w:rFonts w:asciiTheme="majorBidi" w:hAnsiTheme="majorBidi" w:cstheme="majorBidi"/>
          <w:color w:val="000000"/>
          <w:vertAlign w:val="subscript"/>
        </w:rPr>
        <w:t>S</w:t>
      </w:r>
      <w:r w:rsidRPr="00BD32DF">
        <w:rPr>
          <w:rFonts w:asciiTheme="majorBidi" w:hAnsiTheme="majorBidi" w:cstheme="majorBidi"/>
          <w:color w:val="000000"/>
        </w:rPr>
        <w:t xml:space="preserve"> = 546.6 m</w:t>
      </w:r>
      <w:r w:rsidRPr="00BD32DF">
        <w:rPr>
          <w:rFonts w:asciiTheme="majorBidi" w:hAnsiTheme="majorBidi" w:cstheme="majorBidi"/>
        </w:rPr>
        <w:t xml:space="preserve">) indique un bassin a relief </w:t>
      </w:r>
      <w:r w:rsidR="008C3239" w:rsidRPr="00BD32DF">
        <w:rPr>
          <w:rFonts w:asciiTheme="majorBidi" w:hAnsiTheme="majorBidi" w:cstheme="majorBidi"/>
        </w:rPr>
        <w:t>très</w:t>
      </w:r>
      <w:r w:rsidRPr="00BD32DF">
        <w:rPr>
          <w:rFonts w:asciiTheme="majorBidi" w:hAnsiTheme="majorBidi" w:cstheme="majorBidi"/>
        </w:rPr>
        <w:t xml:space="preserve"> fort.  </w:t>
      </w:r>
    </w:p>
    <w:p w:rsidR="00185C42" w:rsidRPr="00BD32DF" w:rsidRDefault="00185C42" w:rsidP="008C3239">
      <w:pPr>
        <w:autoSpaceDE w:val="0"/>
        <w:autoSpaceDN w:val="0"/>
        <w:adjustRightInd w:val="0"/>
        <w:spacing w:line="360" w:lineRule="auto"/>
        <w:jc w:val="both"/>
        <w:rPr>
          <w:rFonts w:asciiTheme="majorBidi" w:eastAsiaTheme="minorHAnsi" w:hAnsiTheme="majorBidi" w:cstheme="majorBidi"/>
          <w:lang w:eastAsia="en-US"/>
        </w:rPr>
      </w:pPr>
      <w:r w:rsidRPr="00BD32DF">
        <w:rPr>
          <w:rFonts w:asciiTheme="majorBidi" w:eastAsiaTheme="minorHAnsi" w:hAnsiTheme="majorBidi" w:cstheme="majorBidi"/>
          <w:lang w:eastAsia="en-US"/>
        </w:rPr>
        <w:t xml:space="preserve">Ces résultats montrent aussi que la densité de drainage est importante </w:t>
      </w:r>
      <w:r w:rsidRPr="00BD32DF">
        <w:rPr>
          <w:rFonts w:eastAsiaTheme="minorHAnsi"/>
          <w:lang w:eastAsia="en-US"/>
        </w:rPr>
        <w:t>(Dd=3.8km/km2) caractérise un réseau hydrographique bien développé</w:t>
      </w:r>
      <w:r w:rsidRPr="00BD32DF">
        <w:rPr>
          <w:rFonts w:asciiTheme="majorBidi" w:eastAsiaTheme="minorHAnsi" w:hAnsiTheme="majorBidi" w:cstheme="majorBidi"/>
          <w:lang w:eastAsia="en-US"/>
        </w:rPr>
        <w:t>, de plus le coefficient de torrentialité semble assez élevé ceci est due certainement au nombre considérable de talwegs. Quant au temps de concentration, il semble important (long) puisque le temps qu’a mis une particule d’eau pour arriver au point le plus éloigné de l’exutoire est 12 h. Ceci, explique la complication des chenaux qui traversent les différentes structures et formations d’une part et la forme allongée du bassin versant de l’autre, sachant que la longueur du talweg principale est de 103km.</w:t>
      </w:r>
    </w:p>
    <w:p w:rsidR="00185C42" w:rsidRDefault="00185C42"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C3239" w:rsidRDefault="008C3239" w:rsidP="00185C42"/>
    <w:p w:rsidR="008A4F90" w:rsidRDefault="008A4F90" w:rsidP="00185C42"/>
    <w:p w:rsidR="008C3239" w:rsidRPr="005644BB" w:rsidRDefault="008C3239" w:rsidP="001F62E5">
      <w:pPr>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PARTIE</w:t>
      </w:r>
      <w:r w:rsidR="001F62E5" w:rsidRPr="001F62E5">
        <w:rPr>
          <w:rFonts w:asciiTheme="majorBidi" w:hAnsiTheme="majorBidi" w:cstheme="majorBidi"/>
          <w:b/>
          <w:bCs/>
          <w:sz w:val="24"/>
          <w:szCs w:val="24"/>
        </w:rPr>
        <w:t xml:space="preserve"> </w:t>
      </w:r>
      <w:r w:rsidR="001F62E5" w:rsidRPr="005644BB">
        <w:rPr>
          <w:rFonts w:asciiTheme="majorBidi" w:hAnsiTheme="majorBidi" w:cstheme="majorBidi"/>
          <w:b/>
          <w:bCs/>
          <w:sz w:val="24"/>
          <w:szCs w:val="24"/>
        </w:rPr>
        <w:t>IV</w:t>
      </w:r>
      <w:r>
        <w:rPr>
          <w:rFonts w:asciiTheme="majorBidi" w:hAnsiTheme="majorBidi" w:cstheme="majorBidi"/>
          <w:b/>
          <w:bCs/>
          <w:sz w:val="24"/>
          <w:szCs w:val="24"/>
        </w:rPr>
        <w:t>:</w:t>
      </w:r>
      <w:r w:rsidRPr="005644BB">
        <w:rPr>
          <w:rFonts w:asciiTheme="majorBidi" w:hAnsiTheme="majorBidi" w:cstheme="majorBidi"/>
          <w:b/>
          <w:bCs/>
          <w:sz w:val="24"/>
          <w:szCs w:val="24"/>
        </w:rPr>
        <w:t xml:space="preserve"> Etude climatique et hydrologique.</w:t>
      </w:r>
    </w:p>
    <w:p w:rsidR="008C3239" w:rsidRPr="005644BB" w:rsidRDefault="001F62E5" w:rsidP="008C3239">
      <w:pPr>
        <w:autoSpaceDE w:val="0"/>
        <w:autoSpaceDN w:val="0"/>
        <w:adjustRightInd w:val="0"/>
        <w:spacing w:after="0" w:line="360" w:lineRule="auto"/>
        <w:ind w:right="-99"/>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8C3239" w:rsidRPr="005644BB">
        <w:rPr>
          <w:rFonts w:asciiTheme="majorBidi" w:hAnsiTheme="majorBidi" w:cstheme="majorBidi"/>
          <w:b/>
          <w:bCs/>
          <w:sz w:val="24"/>
          <w:szCs w:val="24"/>
        </w:rPr>
        <w:t>IV.1 Introduction :</w:t>
      </w:r>
    </w:p>
    <w:p w:rsidR="008C3239" w:rsidRPr="005644BB" w:rsidRDefault="008C3239" w:rsidP="008C3239">
      <w:pPr>
        <w:autoSpaceDE w:val="0"/>
        <w:autoSpaceDN w:val="0"/>
        <w:adjustRightInd w:val="0"/>
        <w:spacing w:after="0" w:line="480" w:lineRule="auto"/>
        <w:jc w:val="both"/>
        <w:rPr>
          <w:rFonts w:asciiTheme="majorBidi" w:hAnsiTheme="majorBidi" w:cstheme="majorBidi"/>
          <w:sz w:val="24"/>
          <w:szCs w:val="24"/>
        </w:rPr>
      </w:pPr>
      <w:r w:rsidRPr="005644BB">
        <w:rPr>
          <w:rFonts w:asciiTheme="majorBidi" w:hAnsiTheme="majorBidi" w:cstheme="majorBidi"/>
          <w:sz w:val="24"/>
          <w:szCs w:val="24"/>
        </w:rPr>
        <w:t>Le bassin objet d’étude est caractérisé par un climat semi-aride dont les caractéristiques se manifestent par un hiver froid à frais et un été très chaud et sec. L’irrégularité et la diminution des précipitations s’affirment en allant de plus en plus vers le Sud, par ailleurs l’allongement de la saison sèche se répercute sur le couvert végétal et impose ainsi, une sélection naturelle des espèces les plus adaptées à ces conditions.</w:t>
      </w: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Pr>
          <w:rFonts w:asciiTheme="majorBidi" w:hAnsiTheme="majorBidi" w:cstheme="majorBidi"/>
          <w:b/>
          <w:bCs/>
          <w:sz w:val="24"/>
          <w:szCs w:val="24"/>
        </w:rPr>
        <w:t>IV.2.</w:t>
      </w:r>
      <w:r w:rsidR="008C3239" w:rsidRPr="005644BB">
        <w:rPr>
          <w:rFonts w:asciiTheme="majorBidi" w:hAnsiTheme="majorBidi" w:cstheme="majorBidi"/>
          <w:b/>
          <w:bCs/>
          <w:sz w:val="24"/>
          <w:szCs w:val="24"/>
        </w:rPr>
        <w:t xml:space="preserve"> Les Précipitations moyennes annuelles :</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On dispose des données concernant les 4 stations pluviométriques dont le fonctionnement date de 1969 ainsi que la station hydrométrique qui a fonctionné depuis 1947.</w:t>
      </w:r>
    </w:p>
    <w:p w:rsidR="008C3239" w:rsidRPr="005644BB" w:rsidRDefault="008C3239" w:rsidP="008C3239">
      <w:pPr>
        <w:spacing w:line="360" w:lineRule="auto"/>
        <w:jc w:val="both"/>
        <w:rPr>
          <w:rFonts w:asciiTheme="majorBidi" w:hAnsiTheme="majorBidi" w:cstheme="majorBidi"/>
          <w:sz w:val="24"/>
          <w:szCs w:val="24"/>
        </w:rPr>
      </w:pPr>
      <w:r w:rsidRPr="005644BB">
        <w:rPr>
          <w:rFonts w:asciiTheme="majorBidi" w:hAnsiTheme="majorBidi" w:cstheme="majorBidi"/>
          <w:sz w:val="24"/>
          <w:szCs w:val="24"/>
        </w:rPr>
        <w:t>Les variations des pluies moyennes annuelles de ces stations sont représentées comme suit :</w:t>
      </w:r>
    </w:p>
    <w:p w:rsidR="008C3239" w:rsidRPr="005644BB" w:rsidRDefault="008C3239" w:rsidP="008C3239">
      <w:pPr>
        <w:spacing w:line="360" w:lineRule="auto"/>
        <w:jc w:val="center"/>
        <w:rPr>
          <w:rFonts w:asciiTheme="majorBidi" w:hAnsiTheme="majorBidi" w:cstheme="majorBidi"/>
          <w:color w:val="FF0000"/>
          <w:sz w:val="24"/>
          <w:szCs w:val="24"/>
        </w:rPr>
      </w:pPr>
      <w:r w:rsidRPr="005644BB">
        <w:rPr>
          <w:rFonts w:asciiTheme="majorBidi" w:hAnsiTheme="majorBidi" w:cstheme="majorBidi"/>
          <w:noProof/>
          <w:color w:val="FF0000"/>
          <w:sz w:val="24"/>
          <w:szCs w:val="24"/>
        </w:rPr>
        <w:drawing>
          <wp:inline distT="0" distB="0" distL="0" distR="0">
            <wp:extent cx="5761627" cy="3187337"/>
            <wp:effectExtent l="19050" t="0" r="10523" b="0"/>
            <wp:docPr id="20"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C3239" w:rsidRPr="008C3239" w:rsidRDefault="008C3239" w:rsidP="008C3239">
      <w:pPr>
        <w:spacing w:line="360" w:lineRule="auto"/>
        <w:jc w:val="center"/>
        <w:rPr>
          <w:rFonts w:asciiTheme="majorBidi" w:hAnsiTheme="majorBidi" w:cstheme="majorBidi"/>
          <w:b/>
          <w:bCs/>
        </w:rPr>
      </w:pPr>
      <w:r w:rsidRPr="008C3239">
        <w:rPr>
          <w:rFonts w:asciiTheme="majorBidi" w:hAnsiTheme="majorBidi" w:cstheme="majorBidi"/>
          <w:b/>
          <w:bCs/>
        </w:rPr>
        <w:t>Figure (</w:t>
      </w:r>
      <w:r w:rsidR="008A4F90" w:rsidRPr="008A4F90">
        <w:rPr>
          <w:rFonts w:asciiTheme="majorBidi" w:eastAsiaTheme="majorEastAsia" w:hAnsiTheme="majorBidi" w:cstheme="majorBidi"/>
          <w:b/>
          <w:bCs/>
        </w:rPr>
        <w:t>I</w:t>
      </w:r>
      <w:r w:rsidR="008A4F90">
        <w:rPr>
          <w:rFonts w:asciiTheme="majorBidi" w:hAnsiTheme="majorBidi" w:cstheme="majorBidi"/>
          <w:b/>
          <w:bCs/>
        </w:rPr>
        <w:t>.IV.1</w:t>
      </w:r>
      <w:r w:rsidRPr="008C3239">
        <w:rPr>
          <w:rFonts w:asciiTheme="majorBidi" w:hAnsiTheme="majorBidi" w:cstheme="majorBidi"/>
          <w:b/>
          <w:bCs/>
        </w:rPr>
        <w:t>) : Précipitations moyennes annuelles.</w:t>
      </w:r>
    </w:p>
    <w:p w:rsidR="008C3239" w:rsidRPr="005644BB"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Pr>
          <w:rFonts w:asciiTheme="majorBidi" w:hAnsiTheme="majorBidi" w:cstheme="majorBidi"/>
          <w:b/>
          <w:bCs/>
          <w:sz w:val="24"/>
          <w:szCs w:val="24"/>
        </w:rPr>
        <w:t>IV.2</w:t>
      </w:r>
      <w:r w:rsidR="008C3239" w:rsidRPr="005644BB">
        <w:rPr>
          <w:rFonts w:asciiTheme="majorBidi" w:hAnsiTheme="majorBidi" w:cstheme="majorBidi"/>
          <w:b/>
          <w:bCs/>
          <w:sz w:val="24"/>
          <w:szCs w:val="24"/>
        </w:rPr>
        <w:t>.1-Calcul de la pluie moyenne annuelle sur l’ensemble du B.V:</w:t>
      </w:r>
    </w:p>
    <w:p w:rsidR="008C3239" w:rsidRPr="005644BB" w:rsidRDefault="008C3239" w:rsidP="008C3239">
      <w:pPr>
        <w:tabs>
          <w:tab w:val="left" w:pos="3755"/>
        </w:tabs>
        <w:autoSpaceDE w:val="0"/>
        <w:autoSpaceDN w:val="0"/>
        <w:adjustRightInd w:val="0"/>
        <w:spacing w:after="0" w:line="360" w:lineRule="auto"/>
        <w:jc w:val="both"/>
        <w:rPr>
          <w:rFonts w:asciiTheme="majorBidi" w:hAnsiTheme="majorBidi" w:cstheme="majorBidi"/>
          <w:b/>
          <w:bCs/>
          <w:color w:val="000000" w:themeColor="text1"/>
          <w:sz w:val="24"/>
          <w:szCs w:val="24"/>
        </w:rPr>
      </w:pPr>
      <w:r w:rsidRPr="005644BB">
        <w:rPr>
          <w:rFonts w:asciiTheme="majorBidi" w:hAnsiTheme="majorBidi" w:cstheme="majorBidi"/>
          <w:b/>
          <w:bCs/>
          <w:color w:val="000000" w:themeColor="text1"/>
          <w:sz w:val="24"/>
          <w:szCs w:val="24"/>
        </w:rPr>
        <w:t>a)-La méthode arithmétique :</w:t>
      </w:r>
      <w:r w:rsidRPr="005644BB">
        <w:rPr>
          <w:rFonts w:asciiTheme="majorBidi" w:hAnsiTheme="majorBidi" w:cstheme="majorBidi"/>
          <w:b/>
          <w:bCs/>
          <w:color w:val="000000" w:themeColor="text1"/>
          <w:sz w:val="24"/>
          <w:szCs w:val="24"/>
        </w:rPr>
        <w:tab/>
      </w:r>
    </w:p>
    <w:p w:rsidR="008C3239" w:rsidRPr="005644BB" w:rsidRDefault="008C3239" w:rsidP="008C3239">
      <w:pPr>
        <w:autoSpaceDE w:val="0"/>
        <w:autoSpaceDN w:val="0"/>
        <w:adjustRightInd w:val="0"/>
        <w:spacing w:after="0" w:line="360" w:lineRule="auto"/>
        <w:ind w:firstLine="2835"/>
        <w:jc w:val="center"/>
        <w:rPr>
          <w:rFonts w:asciiTheme="majorBidi" w:hAnsiTheme="majorBidi" w:cstheme="majorBidi"/>
          <w:b/>
          <w:bCs/>
          <w:sz w:val="24"/>
          <w:szCs w:val="24"/>
        </w:rPr>
      </w:pPr>
      <m:oMath>
        <m:r>
          <m:rPr>
            <m:sty m:val="b"/>
          </m:rPr>
          <w:rPr>
            <w:rFonts w:ascii="Cambria Math" w:hAnsi="Cambria Math" w:cstheme="majorBidi"/>
            <w:sz w:val="24"/>
            <w:szCs w:val="24"/>
          </w:rPr>
          <m:t>P=</m:t>
        </m:r>
        <m:nary>
          <m:naryPr>
            <m:chr m:val="∑"/>
            <m:limLoc m:val="undOvr"/>
            <m:subHide m:val="on"/>
            <m:supHide m:val="on"/>
            <m:ctrlPr>
              <w:rPr>
                <w:rFonts w:ascii="Cambria Math" w:hAnsi="Cambria Math" w:cstheme="majorBidi"/>
                <w:b/>
                <w:bCs/>
                <w:sz w:val="24"/>
                <w:szCs w:val="24"/>
              </w:rPr>
            </m:ctrlPr>
          </m:naryPr>
          <m:sub/>
          <m:sup/>
          <m:e>
            <m:f>
              <m:fPr>
                <m:type m:val="lin"/>
                <m:ctrlPr>
                  <w:rPr>
                    <w:rFonts w:ascii="Cambria Math" w:hAnsi="Cambria Math" w:cstheme="majorBidi"/>
                    <w:b/>
                    <w:bCs/>
                    <w:sz w:val="24"/>
                    <w:szCs w:val="24"/>
                  </w:rPr>
                </m:ctrlPr>
              </m:fPr>
              <m:num>
                <m:r>
                  <m:rPr>
                    <m:sty m:val="b"/>
                  </m:rPr>
                  <w:rPr>
                    <w:rFonts w:ascii="Cambria Math" w:hAnsi="Cambria Math" w:cstheme="majorBidi"/>
                    <w:sz w:val="24"/>
                    <w:szCs w:val="24"/>
                  </w:rPr>
                  <m:t>Pi</m:t>
                </m:r>
              </m:num>
              <m:den>
                <m:r>
                  <m:rPr>
                    <m:sty m:val="b"/>
                  </m:rPr>
                  <w:rPr>
                    <w:rFonts w:ascii="Cambria Math" w:hAnsi="Cambria Math" w:cstheme="majorBidi"/>
                    <w:sz w:val="24"/>
                    <w:szCs w:val="24"/>
                  </w:rPr>
                  <m:t>N</m:t>
                </m:r>
              </m:den>
            </m:f>
          </m:e>
        </m:nary>
      </m:oMath>
      <w:r w:rsidRPr="005644BB">
        <w:rPr>
          <w:rFonts w:asciiTheme="majorBidi" w:hAnsiTheme="majorBidi" w:cstheme="majorBidi"/>
          <w:b/>
          <w:bCs/>
          <w:sz w:val="24"/>
          <w:szCs w:val="24"/>
        </w:rPr>
        <w:t xml:space="preserve"> ……………...</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 xml:space="preserve">P : pluie moyenne sur l’ensemble du bassin versant (mm). </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Pi : hauteur de pluie moyenne d’une station donnée (mm).</w:t>
      </w:r>
    </w:p>
    <w:p w:rsidR="008C3239" w:rsidRDefault="008C3239" w:rsidP="008C3239">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N : nombre de station.</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insideV w:val="single" w:sz="4" w:space="0" w:color="auto"/>
        </w:tblBorders>
        <w:tblLook w:val="04A0"/>
      </w:tblPr>
      <w:tblGrid>
        <w:gridCol w:w="1668"/>
        <w:gridCol w:w="2485"/>
        <w:gridCol w:w="3486"/>
      </w:tblGrid>
      <w:tr w:rsidR="008C3239" w:rsidRPr="005644BB" w:rsidTr="008C3239">
        <w:trPr>
          <w:jc w:val="center"/>
        </w:trPr>
        <w:tc>
          <w:tcPr>
            <w:tcW w:w="1668" w:type="dxa"/>
          </w:tcPr>
          <w:p w:rsidR="008C3239" w:rsidRPr="005644BB" w:rsidRDefault="008C3239" w:rsidP="008C3239">
            <w:pPr>
              <w:autoSpaceDE w:val="0"/>
              <w:autoSpaceDN w:val="0"/>
              <w:adjustRightInd w:val="0"/>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Station</w:t>
            </w:r>
          </w:p>
        </w:tc>
        <w:tc>
          <w:tcPr>
            <w:tcW w:w="2485" w:type="dxa"/>
          </w:tcPr>
          <w:p w:rsidR="008C3239" w:rsidRPr="005644BB" w:rsidRDefault="008C3239" w:rsidP="008C3239">
            <w:pPr>
              <w:autoSpaceDE w:val="0"/>
              <w:autoSpaceDN w:val="0"/>
              <w:adjustRightInd w:val="0"/>
              <w:spacing w:line="360" w:lineRule="auto"/>
              <w:ind w:left="144"/>
              <w:jc w:val="center"/>
              <w:rPr>
                <w:rFonts w:asciiTheme="majorBidi" w:hAnsiTheme="majorBidi" w:cstheme="majorBidi"/>
                <w:b/>
                <w:bCs/>
                <w:sz w:val="24"/>
                <w:szCs w:val="24"/>
              </w:rPr>
            </w:pPr>
            <w:r w:rsidRPr="005644BB">
              <w:rPr>
                <w:rFonts w:asciiTheme="majorBidi" w:hAnsiTheme="majorBidi" w:cstheme="majorBidi"/>
                <w:b/>
                <w:bCs/>
                <w:sz w:val="24"/>
                <w:szCs w:val="24"/>
              </w:rPr>
              <w:t>Code</w:t>
            </w:r>
          </w:p>
        </w:tc>
        <w:tc>
          <w:tcPr>
            <w:tcW w:w="3486" w:type="dxa"/>
          </w:tcPr>
          <w:p w:rsidR="008C3239" w:rsidRPr="005644BB" w:rsidRDefault="008C3239" w:rsidP="008C3239">
            <w:pPr>
              <w:autoSpaceDE w:val="0"/>
              <w:autoSpaceDN w:val="0"/>
              <w:adjustRightInd w:val="0"/>
              <w:spacing w:line="360" w:lineRule="auto"/>
              <w:ind w:left="217"/>
              <w:jc w:val="center"/>
              <w:rPr>
                <w:rFonts w:asciiTheme="majorBidi" w:hAnsiTheme="majorBidi" w:cstheme="majorBidi"/>
                <w:b/>
                <w:bCs/>
                <w:sz w:val="24"/>
                <w:szCs w:val="24"/>
              </w:rPr>
            </w:pPr>
            <w:r w:rsidRPr="005644BB">
              <w:rPr>
                <w:rFonts w:asciiTheme="majorBidi" w:hAnsiTheme="majorBidi" w:cstheme="majorBidi"/>
                <w:b/>
                <w:bCs/>
                <w:sz w:val="24"/>
                <w:szCs w:val="24"/>
              </w:rPr>
              <w:t>P moyennes annuelles (mm)</w:t>
            </w:r>
          </w:p>
        </w:tc>
      </w:tr>
      <w:tr w:rsidR="008C3239" w:rsidRPr="005644BB" w:rsidTr="008C3239">
        <w:trPr>
          <w:jc w:val="center"/>
        </w:trPr>
        <w:tc>
          <w:tcPr>
            <w:tcW w:w="1668"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Tkout</w:t>
            </w:r>
          </w:p>
        </w:tc>
        <w:tc>
          <w:tcPr>
            <w:tcW w:w="2485" w:type="dxa"/>
          </w:tcPr>
          <w:p w:rsidR="008C3239" w:rsidRPr="005644BB" w:rsidRDefault="008C3239" w:rsidP="008C3239">
            <w:pPr>
              <w:autoSpaceDE w:val="0"/>
              <w:autoSpaceDN w:val="0"/>
              <w:adjustRightInd w:val="0"/>
              <w:spacing w:line="360" w:lineRule="auto"/>
              <w:ind w:left="192"/>
              <w:jc w:val="center"/>
              <w:rPr>
                <w:rFonts w:asciiTheme="majorBidi" w:hAnsiTheme="majorBidi" w:cstheme="majorBidi"/>
                <w:sz w:val="24"/>
                <w:szCs w:val="24"/>
              </w:rPr>
            </w:pPr>
            <w:r w:rsidRPr="005644BB">
              <w:rPr>
                <w:rFonts w:asciiTheme="majorBidi" w:hAnsiTheme="majorBidi" w:cstheme="majorBidi"/>
                <w:sz w:val="24"/>
                <w:szCs w:val="24"/>
              </w:rPr>
              <w:t>061505</w:t>
            </w:r>
          </w:p>
        </w:tc>
        <w:tc>
          <w:tcPr>
            <w:tcW w:w="3486" w:type="dxa"/>
          </w:tcPr>
          <w:p w:rsidR="008C3239" w:rsidRPr="005644BB" w:rsidRDefault="008C3239" w:rsidP="008C3239">
            <w:pPr>
              <w:autoSpaceDE w:val="0"/>
              <w:autoSpaceDN w:val="0"/>
              <w:adjustRightInd w:val="0"/>
              <w:spacing w:line="360" w:lineRule="auto"/>
              <w:ind w:left="265"/>
              <w:jc w:val="center"/>
              <w:rPr>
                <w:rFonts w:asciiTheme="majorBidi" w:hAnsiTheme="majorBidi" w:cstheme="majorBidi"/>
                <w:sz w:val="24"/>
                <w:szCs w:val="24"/>
              </w:rPr>
            </w:pPr>
            <w:r w:rsidRPr="005644BB">
              <w:rPr>
                <w:rFonts w:asciiTheme="majorBidi" w:hAnsiTheme="majorBidi" w:cstheme="majorBidi"/>
                <w:sz w:val="24"/>
                <w:szCs w:val="24"/>
              </w:rPr>
              <w:t>245.304</w:t>
            </w:r>
          </w:p>
        </w:tc>
      </w:tr>
      <w:tr w:rsidR="008C3239" w:rsidRPr="005644BB" w:rsidTr="008C3239">
        <w:trPr>
          <w:jc w:val="center"/>
        </w:trPr>
        <w:tc>
          <w:tcPr>
            <w:tcW w:w="1668"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Tifelfel</w:t>
            </w:r>
          </w:p>
        </w:tc>
        <w:tc>
          <w:tcPr>
            <w:tcW w:w="2485" w:type="dxa"/>
          </w:tcPr>
          <w:p w:rsidR="008C3239" w:rsidRPr="005644BB" w:rsidRDefault="008C3239" w:rsidP="008C3239">
            <w:pPr>
              <w:autoSpaceDE w:val="0"/>
              <w:autoSpaceDN w:val="0"/>
              <w:adjustRightInd w:val="0"/>
              <w:spacing w:line="360" w:lineRule="auto"/>
              <w:ind w:left="192"/>
              <w:jc w:val="center"/>
              <w:rPr>
                <w:rFonts w:asciiTheme="majorBidi" w:hAnsiTheme="majorBidi" w:cstheme="majorBidi"/>
                <w:sz w:val="24"/>
                <w:szCs w:val="24"/>
              </w:rPr>
            </w:pPr>
            <w:r w:rsidRPr="005644BB">
              <w:rPr>
                <w:rFonts w:asciiTheme="majorBidi" w:hAnsiTheme="majorBidi" w:cstheme="majorBidi"/>
                <w:sz w:val="24"/>
                <w:szCs w:val="24"/>
              </w:rPr>
              <w:t>061511</w:t>
            </w:r>
          </w:p>
        </w:tc>
        <w:tc>
          <w:tcPr>
            <w:tcW w:w="3486" w:type="dxa"/>
          </w:tcPr>
          <w:p w:rsidR="008C3239" w:rsidRPr="005644BB" w:rsidRDefault="008C3239" w:rsidP="008C3239">
            <w:pPr>
              <w:autoSpaceDE w:val="0"/>
              <w:autoSpaceDN w:val="0"/>
              <w:adjustRightInd w:val="0"/>
              <w:spacing w:line="360" w:lineRule="auto"/>
              <w:ind w:left="265"/>
              <w:jc w:val="center"/>
              <w:rPr>
                <w:rFonts w:asciiTheme="majorBidi" w:hAnsiTheme="majorBidi" w:cstheme="majorBidi"/>
                <w:sz w:val="24"/>
                <w:szCs w:val="24"/>
              </w:rPr>
            </w:pPr>
            <w:r w:rsidRPr="005644BB">
              <w:rPr>
                <w:rFonts w:asciiTheme="majorBidi" w:hAnsiTheme="majorBidi" w:cstheme="majorBidi"/>
                <w:sz w:val="24"/>
                <w:szCs w:val="24"/>
              </w:rPr>
              <w:t>142.431</w:t>
            </w:r>
          </w:p>
        </w:tc>
      </w:tr>
      <w:tr w:rsidR="008C3239" w:rsidRPr="005644BB" w:rsidTr="008C3239">
        <w:trPr>
          <w:jc w:val="center"/>
        </w:trPr>
        <w:tc>
          <w:tcPr>
            <w:tcW w:w="1668"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Barrage</w:t>
            </w:r>
          </w:p>
        </w:tc>
        <w:tc>
          <w:tcPr>
            <w:tcW w:w="2485" w:type="dxa"/>
          </w:tcPr>
          <w:p w:rsidR="008C3239" w:rsidRPr="005644BB" w:rsidRDefault="008C3239" w:rsidP="008C3239">
            <w:pPr>
              <w:autoSpaceDE w:val="0"/>
              <w:autoSpaceDN w:val="0"/>
              <w:adjustRightInd w:val="0"/>
              <w:spacing w:line="360" w:lineRule="auto"/>
              <w:ind w:left="192"/>
              <w:jc w:val="center"/>
              <w:rPr>
                <w:rFonts w:asciiTheme="majorBidi" w:hAnsiTheme="majorBidi" w:cstheme="majorBidi"/>
                <w:sz w:val="24"/>
                <w:szCs w:val="24"/>
              </w:rPr>
            </w:pPr>
            <w:r w:rsidRPr="005644BB">
              <w:rPr>
                <w:rFonts w:asciiTheme="majorBidi" w:hAnsiTheme="majorBidi" w:cstheme="majorBidi"/>
                <w:sz w:val="24"/>
                <w:szCs w:val="24"/>
              </w:rPr>
              <w:t>061601</w:t>
            </w:r>
          </w:p>
        </w:tc>
        <w:tc>
          <w:tcPr>
            <w:tcW w:w="3486" w:type="dxa"/>
          </w:tcPr>
          <w:p w:rsidR="008C3239" w:rsidRPr="005644BB" w:rsidRDefault="008C3239" w:rsidP="008C3239">
            <w:pPr>
              <w:autoSpaceDE w:val="0"/>
              <w:autoSpaceDN w:val="0"/>
              <w:adjustRightInd w:val="0"/>
              <w:spacing w:line="360" w:lineRule="auto"/>
              <w:ind w:left="218"/>
              <w:jc w:val="center"/>
              <w:rPr>
                <w:rFonts w:asciiTheme="majorBidi" w:hAnsiTheme="majorBidi" w:cstheme="majorBidi"/>
                <w:sz w:val="24"/>
                <w:szCs w:val="24"/>
              </w:rPr>
            </w:pPr>
            <w:r w:rsidRPr="005644BB">
              <w:rPr>
                <w:rFonts w:asciiTheme="majorBidi" w:hAnsiTheme="majorBidi" w:cstheme="majorBidi"/>
                <w:sz w:val="24"/>
                <w:szCs w:val="24"/>
              </w:rPr>
              <w:t>116.845</w:t>
            </w:r>
          </w:p>
        </w:tc>
      </w:tr>
      <w:tr w:rsidR="008C3239" w:rsidRPr="005644BB" w:rsidTr="008C3239">
        <w:trPr>
          <w:jc w:val="center"/>
        </w:trPr>
        <w:tc>
          <w:tcPr>
            <w:tcW w:w="1668"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Médina</w:t>
            </w:r>
          </w:p>
        </w:tc>
        <w:tc>
          <w:tcPr>
            <w:tcW w:w="2485" w:type="dxa"/>
          </w:tcPr>
          <w:p w:rsidR="008C3239" w:rsidRPr="005644BB" w:rsidRDefault="008C3239" w:rsidP="008C3239">
            <w:pPr>
              <w:autoSpaceDE w:val="0"/>
              <w:autoSpaceDN w:val="0"/>
              <w:adjustRightInd w:val="0"/>
              <w:spacing w:line="360" w:lineRule="auto"/>
              <w:ind w:left="144"/>
              <w:jc w:val="center"/>
              <w:rPr>
                <w:rFonts w:asciiTheme="majorBidi" w:hAnsiTheme="majorBidi" w:cstheme="majorBidi"/>
                <w:sz w:val="24"/>
                <w:szCs w:val="24"/>
              </w:rPr>
            </w:pPr>
            <w:r w:rsidRPr="005644BB">
              <w:rPr>
                <w:rFonts w:asciiTheme="majorBidi" w:hAnsiTheme="majorBidi" w:cstheme="majorBidi"/>
                <w:sz w:val="24"/>
                <w:szCs w:val="24"/>
              </w:rPr>
              <w:t>061503</w:t>
            </w:r>
          </w:p>
        </w:tc>
        <w:tc>
          <w:tcPr>
            <w:tcW w:w="3486" w:type="dxa"/>
          </w:tcPr>
          <w:p w:rsidR="008C3239" w:rsidRPr="005644BB" w:rsidRDefault="008C3239" w:rsidP="008C3239">
            <w:pPr>
              <w:autoSpaceDE w:val="0"/>
              <w:autoSpaceDN w:val="0"/>
              <w:adjustRightInd w:val="0"/>
              <w:spacing w:line="360" w:lineRule="auto"/>
              <w:ind w:left="170"/>
              <w:jc w:val="center"/>
              <w:rPr>
                <w:rFonts w:asciiTheme="majorBidi" w:hAnsiTheme="majorBidi" w:cstheme="majorBidi"/>
                <w:sz w:val="24"/>
                <w:szCs w:val="24"/>
              </w:rPr>
            </w:pPr>
            <w:r w:rsidRPr="005644BB">
              <w:rPr>
                <w:rFonts w:asciiTheme="majorBidi" w:hAnsiTheme="majorBidi" w:cstheme="majorBidi"/>
                <w:sz w:val="24"/>
                <w:szCs w:val="24"/>
              </w:rPr>
              <w:t>416.82</w:t>
            </w:r>
          </w:p>
        </w:tc>
      </w:tr>
      <w:tr w:rsidR="008C3239" w:rsidRPr="005644BB" w:rsidTr="008C3239">
        <w:trPr>
          <w:jc w:val="center"/>
        </w:trPr>
        <w:tc>
          <w:tcPr>
            <w:tcW w:w="4153" w:type="dxa"/>
            <w:gridSpan w:val="2"/>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Précipitation moyenne des 04 stations</w:t>
            </w:r>
          </w:p>
        </w:tc>
        <w:tc>
          <w:tcPr>
            <w:tcW w:w="3486" w:type="dxa"/>
          </w:tcPr>
          <w:p w:rsidR="008C3239" w:rsidRPr="005644BB" w:rsidRDefault="008C3239" w:rsidP="008C3239">
            <w:pPr>
              <w:autoSpaceDE w:val="0"/>
              <w:autoSpaceDN w:val="0"/>
              <w:adjustRightInd w:val="0"/>
              <w:spacing w:line="360" w:lineRule="auto"/>
              <w:ind w:left="204"/>
              <w:jc w:val="center"/>
              <w:rPr>
                <w:rFonts w:asciiTheme="majorBidi" w:hAnsiTheme="majorBidi" w:cstheme="majorBidi"/>
                <w:b/>
                <w:bCs/>
                <w:sz w:val="24"/>
                <w:szCs w:val="24"/>
              </w:rPr>
            </w:pPr>
            <w:r w:rsidRPr="005644BB">
              <w:rPr>
                <w:rFonts w:asciiTheme="majorBidi" w:hAnsiTheme="majorBidi" w:cstheme="majorBidi"/>
                <w:b/>
                <w:bCs/>
                <w:sz w:val="24"/>
                <w:szCs w:val="24"/>
              </w:rPr>
              <w:t>230.35</w:t>
            </w:r>
          </w:p>
        </w:tc>
      </w:tr>
    </w:tbl>
    <w:p w:rsidR="008C3239" w:rsidRDefault="008C3239" w:rsidP="008C3239">
      <w:pPr>
        <w:autoSpaceDE w:val="0"/>
        <w:autoSpaceDN w:val="0"/>
        <w:adjustRightInd w:val="0"/>
        <w:spacing w:after="0" w:line="360" w:lineRule="auto"/>
        <w:jc w:val="center"/>
        <w:rPr>
          <w:rFonts w:asciiTheme="majorBidi" w:hAnsiTheme="majorBidi" w:cstheme="majorBidi"/>
          <w:b/>
          <w:bCs/>
          <w:sz w:val="24"/>
          <w:szCs w:val="24"/>
        </w:rPr>
      </w:pPr>
    </w:p>
    <w:p w:rsidR="008C3239" w:rsidRPr="008C3239" w:rsidRDefault="008C3239" w:rsidP="008A4F90">
      <w:pPr>
        <w:autoSpaceDE w:val="0"/>
        <w:autoSpaceDN w:val="0"/>
        <w:adjustRightInd w:val="0"/>
        <w:spacing w:after="0" w:line="360" w:lineRule="auto"/>
        <w:jc w:val="center"/>
        <w:rPr>
          <w:rFonts w:asciiTheme="majorBidi" w:hAnsiTheme="majorBidi" w:cstheme="majorBidi"/>
          <w:b/>
          <w:bCs/>
        </w:rPr>
      </w:pPr>
      <w:r w:rsidRPr="008C3239">
        <w:rPr>
          <w:rFonts w:asciiTheme="majorBidi" w:hAnsiTheme="majorBidi" w:cstheme="majorBidi"/>
          <w:b/>
          <w:bCs/>
        </w:rPr>
        <w:t>Tableau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Pr="008C3239">
        <w:rPr>
          <w:rFonts w:asciiTheme="majorBidi" w:hAnsiTheme="majorBidi" w:cstheme="majorBidi"/>
          <w:b/>
          <w:bCs/>
        </w:rPr>
        <w:t>IV.</w:t>
      </w:r>
      <w:r w:rsidR="008A4F90">
        <w:rPr>
          <w:rFonts w:asciiTheme="majorBidi" w:hAnsiTheme="majorBidi" w:cstheme="majorBidi"/>
          <w:b/>
          <w:bCs/>
        </w:rPr>
        <w:t>1</w:t>
      </w:r>
      <w:r w:rsidRPr="008C3239">
        <w:rPr>
          <w:rFonts w:asciiTheme="majorBidi" w:hAnsiTheme="majorBidi" w:cstheme="majorBidi"/>
          <w:b/>
          <w:bCs/>
        </w:rPr>
        <w:t>) : Précipitation moyenne annuelles.</w:t>
      </w:r>
    </w:p>
    <w:p w:rsidR="008C3239" w:rsidRDefault="008C3239" w:rsidP="008C3239">
      <w:pPr>
        <w:autoSpaceDE w:val="0"/>
        <w:autoSpaceDN w:val="0"/>
        <w:adjustRightInd w:val="0"/>
        <w:spacing w:after="0" w:line="360" w:lineRule="auto"/>
        <w:jc w:val="both"/>
        <w:rPr>
          <w:rFonts w:asciiTheme="majorBidi" w:hAnsiTheme="majorBidi" w:cstheme="majorBidi"/>
          <w:sz w:val="24"/>
          <w:szCs w:val="24"/>
        </w:rPr>
      </w:pP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Cette méthode ne reflète pas souvent la quantité réelle des pluies qui se sont abattues sur la totalité du bassin versant, pour cela on recourt à d’autres méthodes plus faibles.</w:t>
      </w: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r w:rsidRPr="005644BB">
        <w:rPr>
          <w:rFonts w:asciiTheme="majorBidi" w:hAnsiTheme="majorBidi" w:cstheme="majorBidi"/>
          <w:b/>
          <w:bCs/>
          <w:sz w:val="24"/>
          <w:szCs w:val="24"/>
        </w:rPr>
        <w:t>b)- Méthode des isohyètes :</w:t>
      </w:r>
    </w:p>
    <w:p w:rsidR="008C3239" w:rsidRPr="008C3239" w:rsidRDefault="008C3239" w:rsidP="008C3239">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r w:rsidRPr="005644BB">
        <w:rPr>
          <w:rFonts w:asciiTheme="majorBidi" w:hAnsiTheme="majorBidi" w:cstheme="majorBidi"/>
          <w:sz w:val="24"/>
          <w:szCs w:val="24"/>
        </w:rPr>
        <w:t>Une courbe isohyète est l’ensemble des points sur lesquels est tombée la même hauteur de pluie pendant une période déterminée. Pour pouvoir tracer les isohyètes avec un maximum d’exactitude, il faut que le réseau des pluviomètres soit très dense, en couvrant toute la superficie du bassin, on peut tenir compte des stations situées dans les bassins voisins.</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Les cartes isohyètes sont tracées en joignant les points d’égales précipitations. Ceci nécessite une très bonne connaissance de l’environnement général du bassin versant.</w:t>
      </w:r>
    </w:p>
    <w:p w:rsidR="008C3239" w:rsidRPr="005644BB" w:rsidRDefault="008C3239" w:rsidP="008C3239">
      <w:pPr>
        <w:spacing w:line="360" w:lineRule="auto"/>
        <w:jc w:val="both"/>
        <w:rPr>
          <w:rFonts w:asciiTheme="majorBidi" w:hAnsiTheme="majorBidi" w:cstheme="majorBidi"/>
          <w:sz w:val="24"/>
          <w:szCs w:val="24"/>
        </w:rPr>
      </w:pPr>
      <w:r w:rsidRPr="005644BB">
        <w:rPr>
          <w:rFonts w:asciiTheme="majorBidi" w:hAnsiTheme="majorBidi" w:cstheme="majorBidi"/>
          <w:sz w:val="24"/>
          <w:szCs w:val="24"/>
        </w:rPr>
        <w:t>La pluie moyenne sur la surface S est donnée par la moyenne pondérée</w:t>
      </w:r>
    </w:p>
    <w:p w:rsidR="008C3239" w:rsidRDefault="00152C7F" w:rsidP="008C3239">
      <w:pPr>
        <w:spacing w:line="360" w:lineRule="auto"/>
        <w:jc w:val="center"/>
        <w:rPr>
          <w:rFonts w:asciiTheme="majorBidi" w:hAnsiTheme="majorBidi" w:cstheme="majorBidi"/>
          <w:bCs/>
          <w:sz w:val="24"/>
          <w:szCs w:val="24"/>
        </w:rPr>
      </w:pPr>
      <m:oMath>
        <m:acc>
          <m:accPr>
            <m:chr m:val="̅"/>
            <m:ctrlPr>
              <w:rPr>
                <w:rFonts w:ascii="Cambria Math" w:hAnsi="Cambria Math" w:cstheme="majorBidi"/>
                <w:b/>
                <w:sz w:val="24"/>
                <w:szCs w:val="24"/>
              </w:rPr>
            </m:ctrlPr>
          </m:accPr>
          <m:e>
            <m:r>
              <m:rPr>
                <m:sty m:val="b"/>
              </m:rPr>
              <w:rPr>
                <w:rFonts w:ascii="Cambria Math" w:hAnsi="Cambria Math" w:cstheme="majorBidi"/>
                <w:sz w:val="24"/>
                <w:szCs w:val="24"/>
              </w:rPr>
              <m:t>P</m:t>
            </m:r>
          </m:e>
        </m:acc>
        <m:r>
          <m:rPr>
            <m:sty m:val="b"/>
          </m:rPr>
          <w:rPr>
            <w:rFonts w:ascii="Cambria Math" w:hAnsi="Cambria Math" w:cstheme="majorBidi"/>
            <w:sz w:val="24"/>
            <w:szCs w:val="24"/>
          </w:rPr>
          <m:t>=</m:t>
        </m:r>
        <m:nary>
          <m:naryPr>
            <m:chr m:val="∑"/>
            <m:limLoc m:val="undOvr"/>
            <m:ctrlPr>
              <w:rPr>
                <w:rFonts w:ascii="Cambria Math" w:hAnsi="Cambria Math" w:cstheme="majorBidi"/>
                <w:b/>
                <w:sz w:val="24"/>
                <w:szCs w:val="24"/>
              </w:rPr>
            </m:ctrlPr>
          </m:naryPr>
          <m:sub>
            <m:r>
              <m:rPr>
                <m:sty m:val="b"/>
              </m:rPr>
              <w:rPr>
                <w:rFonts w:ascii="Cambria Math" w:hAnsi="Cambria Math" w:cstheme="majorBidi"/>
                <w:sz w:val="24"/>
                <w:szCs w:val="24"/>
              </w:rPr>
              <m:t>i=1</m:t>
            </m:r>
          </m:sub>
          <m:sup>
            <m:r>
              <m:rPr>
                <m:sty m:val="b"/>
              </m:rPr>
              <w:rPr>
                <w:rFonts w:ascii="Cambria Math" w:hAnsi="Cambria Math" w:cstheme="majorBidi"/>
                <w:sz w:val="24"/>
                <w:szCs w:val="24"/>
              </w:rPr>
              <m:t>i=n</m:t>
            </m:r>
          </m:sup>
          <m:e>
            <m:r>
              <m:rPr>
                <m:sty m:val="b"/>
              </m:rPr>
              <w:rPr>
                <w:rFonts w:ascii="Cambria Math" w:hAnsi="Cambria Math" w:cstheme="majorBidi"/>
                <w:sz w:val="24"/>
                <w:szCs w:val="24"/>
              </w:rPr>
              <m:t xml:space="preserve"> </m:t>
            </m:r>
            <m:f>
              <m:fPr>
                <m:ctrlPr>
                  <w:rPr>
                    <w:rFonts w:ascii="Cambria Math" w:hAnsi="Cambria Math" w:cstheme="majorBidi"/>
                    <w:b/>
                    <w:bCs/>
                    <w:sz w:val="24"/>
                    <w:szCs w:val="24"/>
                  </w:rPr>
                </m:ctrlPr>
              </m:fPr>
              <m:num>
                <m:sSub>
                  <m:sSubPr>
                    <m:ctrlPr>
                      <w:rPr>
                        <w:rFonts w:ascii="Cambria Math" w:hAnsi="Cambria Math" w:cstheme="majorBidi"/>
                        <w:b/>
                        <w:bCs/>
                        <w:sz w:val="24"/>
                        <w:szCs w:val="24"/>
                      </w:rPr>
                    </m:ctrlPr>
                  </m:sSubPr>
                  <m:e>
                    <m:r>
                      <m:rPr>
                        <m:sty m:val="b"/>
                      </m:rPr>
                      <w:rPr>
                        <w:rFonts w:ascii="Cambria Math" w:hAnsi="Cambria Math" w:cstheme="majorBidi"/>
                        <w:sz w:val="24"/>
                        <w:szCs w:val="24"/>
                      </w:rPr>
                      <m:t>S</m:t>
                    </m:r>
                  </m:e>
                  <m:sub>
                    <m:r>
                      <m:rPr>
                        <m:sty m:val="b"/>
                      </m:rPr>
                      <w:rPr>
                        <w:rFonts w:ascii="Cambria Math" w:hAnsi="Cambria Math" w:cstheme="majorBidi"/>
                        <w:sz w:val="24"/>
                        <w:szCs w:val="24"/>
                      </w:rPr>
                      <m:t xml:space="preserve">i </m:t>
                    </m:r>
                  </m:sub>
                </m:sSub>
                <m:sSub>
                  <m:sSubPr>
                    <m:ctrlPr>
                      <w:rPr>
                        <w:rFonts w:ascii="Cambria Math" w:hAnsi="Cambria Math" w:cstheme="majorBidi"/>
                        <w:b/>
                        <w:bCs/>
                        <w:sz w:val="24"/>
                        <w:szCs w:val="24"/>
                      </w:rPr>
                    </m:ctrlPr>
                  </m:sSubPr>
                  <m:e>
                    <m:r>
                      <m:rPr>
                        <m:sty m:val="b"/>
                      </m:rPr>
                      <w:rPr>
                        <w:rFonts w:ascii="Cambria Math" w:hAnsi="Cambria Math" w:cstheme="majorBidi"/>
                        <w:sz w:val="24"/>
                        <w:szCs w:val="24"/>
                      </w:rPr>
                      <m:t>P</m:t>
                    </m:r>
                  </m:e>
                  <m:sub>
                    <m:r>
                      <m:rPr>
                        <m:sty m:val="b"/>
                      </m:rPr>
                      <w:rPr>
                        <w:rFonts w:ascii="Cambria Math" w:hAnsi="Cambria Math" w:cstheme="majorBidi"/>
                        <w:sz w:val="24"/>
                        <w:szCs w:val="24"/>
                      </w:rPr>
                      <m:t>i</m:t>
                    </m:r>
                  </m:sub>
                </m:sSub>
              </m:num>
              <m:den>
                <m:sSub>
                  <m:sSubPr>
                    <m:ctrlPr>
                      <w:rPr>
                        <w:rFonts w:ascii="Cambria Math" w:hAnsi="Cambria Math" w:cstheme="majorBidi"/>
                        <w:b/>
                        <w:bCs/>
                        <w:sz w:val="24"/>
                        <w:szCs w:val="24"/>
                      </w:rPr>
                    </m:ctrlPr>
                  </m:sSubPr>
                  <m:e>
                    <m:r>
                      <m:rPr>
                        <m:sty m:val="b"/>
                      </m:rPr>
                      <w:rPr>
                        <w:rFonts w:ascii="Cambria Math" w:hAnsi="Cambria Math" w:cstheme="majorBidi"/>
                        <w:sz w:val="24"/>
                        <w:szCs w:val="24"/>
                      </w:rPr>
                      <m:t>S</m:t>
                    </m:r>
                  </m:e>
                  <m:sub>
                    <m:r>
                      <m:rPr>
                        <m:sty m:val="b"/>
                      </m:rPr>
                      <w:rPr>
                        <w:rFonts w:ascii="Cambria Math" w:hAnsi="Cambria Math" w:cstheme="majorBidi"/>
                        <w:sz w:val="24"/>
                        <w:szCs w:val="24"/>
                      </w:rPr>
                      <m:t>T</m:t>
                    </m:r>
                  </m:sub>
                </m:sSub>
              </m:den>
            </m:f>
          </m:e>
        </m:nary>
      </m:oMath>
      <w:r w:rsidR="008C3239" w:rsidRPr="005644BB">
        <w:rPr>
          <w:rFonts w:asciiTheme="majorBidi" w:hAnsiTheme="majorBidi" w:cstheme="majorBidi"/>
          <w:b/>
          <w:sz w:val="24"/>
          <w:szCs w:val="24"/>
        </w:rPr>
        <w:t xml:space="preserve"> </w:t>
      </w:r>
      <w:r w:rsidR="008C3239" w:rsidRPr="005644BB">
        <w:rPr>
          <w:rFonts w:asciiTheme="majorBidi" w:hAnsiTheme="majorBidi" w:cstheme="majorBidi"/>
          <w:bCs/>
          <w:sz w:val="24"/>
          <w:szCs w:val="24"/>
        </w:rPr>
        <w:t>..............</w:t>
      </w:r>
    </w:p>
    <w:p w:rsidR="008C3239" w:rsidRDefault="008C3239" w:rsidP="008C3239">
      <w:pPr>
        <w:spacing w:line="360" w:lineRule="auto"/>
        <w:jc w:val="center"/>
        <w:rPr>
          <w:rFonts w:asciiTheme="majorBidi" w:hAnsiTheme="majorBidi" w:cstheme="majorBidi"/>
          <w:bCs/>
          <w:sz w:val="24"/>
          <w:szCs w:val="24"/>
        </w:rPr>
      </w:pPr>
    </w:p>
    <w:p w:rsidR="008C3239" w:rsidRDefault="008C3239" w:rsidP="008C3239">
      <w:pPr>
        <w:spacing w:line="360" w:lineRule="auto"/>
        <w:jc w:val="center"/>
        <w:rPr>
          <w:rFonts w:asciiTheme="majorBidi" w:hAnsiTheme="majorBidi" w:cstheme="majorBidi"/>
          <w:bCs/>
          <w:sz w:val="24"/>
          <w:szCs w:val="24"/>
        </w:rPr>
      </w:pPr>
      <w:r w:rsidRPr="005644BB">
        <w:rPr>
          <w:rFonts w:asciiTheme="majorBidi" w:hAnsiTheme="majorBidi" w:cstheme="majorBidi"/>
          <w:bCs/>
          <w:noProof/>
          <w:sz w:val="24"/>
          <w:szCs w:val="24"/>
        </w:rPr>
        <w:lastRenderedPageBreak/>
        <w:drawing>
          <wp:inline distT="0" distB="0" distL="0" distR="0">
            <wp:extent cx="5857103" cy="4262794"/>
            <wp:effectExtent l="19050" t="0" r="0" b="0"/>
            <wp:docPr id="8" name="Image 2" descr="E:\mmm\IMAGES\CLIM\I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mm\IMAGES\CLIM\ISO.png"/>
                    <pic:cNvPicPr>
                      <a:picLocks noChangeAspect="1" noChangeArrowheads="1"/>
                    </pic:cNvPicPr>
                  </pic:nvPicPr>
                  <pic:blipFill>
                    <a:blip r:embed="rId16"/>
                    <a:srcRect/>
                    <a:stretch>
                      <a:fillRect/>
                    </a:stretch>
                  </pic:blipFill>
                  <pic:spPr bwMode="auto">
                    <a:xfrm>
                      <a:off x="0" y="0"/>
                      <a:ext cx="5860945" cy="4265590"/>
                    </a:xfrm>
                    <a:prstGeom prst="rect">
                      <a:avLst/>
                    </a:prstGeom>
                    <a:noFill/>
                    <a:ln w="9525">
                      <a:noFill/>
                      <a:miter lim="800000"/>
                      <a:headEnd/>
                      <a:tailEnd/>
                    </a:ln>
                  </pic:spPr>
                </pic:pic>
              </a:graphicData>
            </a:graphic>
          </wp:inline>
        </w:drawing>
      </w:r>
    </w:p>
    <w:p w:rsidR="008C3239" w:rsidRPr="008C3239" w:rsidRDefault="008C3239" w:rsidP="008A4F90">
      <w:pPr>
        <w:spacing w:line="360" w:lineRule="auto"/>
        <w:jc w:val="center"/>
        <w:rPr>
          <w:rFonts w:asciiTheme="majorBidi" w:hAnsiTheme="majorBidi" w:cstheme="majorBidi"/>
          <w:b/>
          <w:bCs/>
        </w:rPr>
      </w:pPr>
      <w:r w:rsidRPr="008C3239">
        <w:rPr>
          <w:rFonts w:asciiTheme="majorBidi" w:hAnsiTheme="majorBidi" w:cstheme="majorBidi"/>
          <w:b/>
          <w:bCs/>
        </w:rPr>
        <w:t>Figure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Pr="008C3239">
        <w:rPr>
          <w:rFonts w:asciiTheme="majorBidi" w:hAnsiTheme="majorBidi" w:cstheme="majorBidi"/>
          <w:b/>
          <w:bCs/>
        </w:rPr>
        <w:t>IV.</w:t>
      </w:r>
      <w:r w:rsidR="008A4F90">
        <w:rPr>
          <w:rFonts w:asciiTheme="majorBidi" w:hAnsiTheme="majorBidi" w:cstheme="majorBidi"/>
          <w:b/>
          <w:bCs/>
        </w:rPr>
        <w:t>2</w:t>
      </w:r>
      <w:r w:rsidRPr="008C3239">
        <w:rPr>
          <w:rFonts w:asciiTheme="majorBidi" w:hAnsiTheme="majorBidi" w:cstheme="majorBidi"/>
          <w:b/>
          <w:bCs/>
        </w:rPr>
        <w:t>) : La carte des isohyètes</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tblPr>
      <w:tblGrid>
        <w:gridCol w:w="1134"/>
        <w:gridCol w:w="1842"/>
        <w:gridCol w:w="1985"/>
        <w:gridCol w:w="1417"/>
        <w:gridCol w:w="1560"/>
      </w:tblGrid>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N°</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Isohyètes des hauteurs (mm)</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Zone d’influence Si(Km²)</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Pi</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Si*Pi</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&gt;600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27.20</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660.80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17973,76</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2</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600-500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70.40</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550.60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38762,24</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3</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500-400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112</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483.10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54107,2</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4</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400-300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150.80</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388</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58510,4</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5</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300-200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207.60</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298.50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61968,6</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6</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200-150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566</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186.70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105672,2</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7</w:t>
            </w:r>
          </w:p>
        </w:tc>
        <w:tc>
          <w:tcPr>
            <w:tcW w:w="1842"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&lt;150</w:t>
            </w:r>
          </w:p>
        </w:tc>
        <w:tc>
          <w:tcPr>
            <w:tcW w:w="1985"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163.30</w:t>
            </w:r>
          </w:p>
        </w:tc>
        <w:tc>
          <w:tcPr>
            <w:tcW w:w="1417"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186.50</w:t>
            </w:r>
          </w:p>
        </w:tc>
        <w:tc>
          <w:tcPr>
            <w:tcW w:w="1560" w:type="dxa"/>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MT" w:hAnsi="TimesNewRomanPSMT" w:cs="TimesNewRomanPSMT"/>
                <w:sz w:val="24"/>
                <w:szCs w:val="24"/>
              </w:rPr>
              <w:t>30455,45</w:t>
            </w:r>
          </w:p>
        </w:tc>
      </w:tr>
      <w:tr w:rsidR="008C3239" w:rsidRPr="005644BB" w:rsidTr="008C3239">
        <w:trPr>
          <w:trHeight w:val="454"/>
          <w:jc w:val="center"/>
        </w:trPr>
        <w:tc>
          <w:tcPr>
            <w:tcW w:w="1134" w:type="dxa"/>
            <w:vAlign w:val="bottom"/>
          </w:tcPr>
          <w:p w:rsidR="008C3239" w:rsidRPr="005644BB" w:rsidRDefault="008C3239" w:rsidP="008C3239">
            <w:pPr>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P</w:t>
            </w:r>
          </w:p>
        </w:tc>
        <w:tc>
          <w:tcPr>
            <w:tcW w:w="6804" w:type="dxa"/>
            <w:gridSpan w:val="4"/>
            <w:vAlign w:val="bottom"/>
          </w:tcPr>
          <w:p w:rsidR="008C3239" w:rsidRPr="005644BB" w:rsidRDefault="008C3239" w:rsidP="008C3239">
            <w:pPr>
              <w:spacing w:line="360" w:lineRule="auto"/>
              <w:jc w:val="center"/>
              <w:rPr>
                <w:rFonts w:asciiTheme="majorBidi" w:hAnsiTheme="majorBidi" w:cstheme="majorBidi"/>
                <w:sz w:val="24"/>
                <w:szCs w:val="24"/>
              </w:rPr>
            </w:pPr>
            <w:r w:rsidRPr="005644BB">
              <w:rPr>
                <w:rFonts w:ascii="TimesNewRomanPS-BoldMT" w:hAnsi="TimesNewRomanPS-BoldMT" w:cs="TimesNewRomanPS-BoldMT"/>
                <w:b/>
                <w:bCs/>
                <w:sz w:val="24"/>
                <w:szCs w:val="24"/>
              </w:rPr>
              <w:t>283 mm</w:t>
            </w:r>
          </w:p>
        </w:tc>
      </w:tr>
    </w:tbl>
    <w:p w:rsidR="008C3239" w:rsidRPr="005644BB" w:rsidRDefault="008C3239" w:rsidP="008C3239">
      <w:pPr>
        <w:tabs>
          <w:tab w:val="left" w:pos="4309"/>
        </w:tabs>
        <w:autoSpaceDE w:val="0"/>
        <w:autoSpaceDN w:val="0"/>
        <w:adjustRightInd w:val="0"/>
        <w:spacing w:after="0" w:line="240" w:lineRule="auto"/>
        <w:ind w:firstLine="708"/>
        <w:jc w:val="both"/>
        <w:rPr>
          <w:rFonts w:asciiTheme="majorBidi" w:hAnsiTheme="majorBidi" w:cstheme="majorBidi"/>
          <w:sz w:val="24"/>
          <w:szCs w:val="24"/>
        </w:rPr>
      </w:pPr>
      <w:r w:rsidRPr="005644BB">
        <w:rPr>
          <w:rFonts w:asciiTheme="majorBidi" w:hAnsiTheme="majorBidi" w:cstheme="majorBidi"/>
          <w:sz w:val="24"/>
          <w:szCs w:val="24"/>
        </w:rPr>
        <w:tab/>
      </w:r>
    </w:p>
    <w:p w:rsidR="008C3239" w:rsidRPr="005644BB" w:rsidRDefault="008C3239" w:rsidP="008C3239">
      <w:pPr>
        <w:tabs>
          <w:tab w:val="left" w:pos="3503"/>
        </w:tabs>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T</w:t>
      </w:r>
      <w:r w:rsidRPr="008C3239">
        <w:rPr>
          <w:rFonts w:asciiTheme="majorBidi" w:hAnsiTheme="majorBidi" w:cstheme="majorBidi"/>
          <w:b/>
          <w:bCs/>
        </w:rPr>
        <w:t>ableau (</w:t>
      </w:r>
      <w:r w:rsidR="008A4F90" w:rsidRPr="008A4F90">
        <w:rPr>
          <w:rFonts w:asciiTheme="majorBidi" w:eastAsiaTheme="majorEastAsia" w:hAnsiTheme="majorBidi" w:cstheme="majorBidi"/>
          <w:b/>
          <w:bCs/>
        </w:rPr>
        <w:t>I</w:t>
      </w:r>
      <w:r w:rsidR="008A4F90">
        <w:rPr>
          <w:rFonts w:asciiTheme="majorBidi" w:hAnsiTheme="majorBidi" w:cstheme="majorBidi"/>
          <w:b/>
          <w:bCs/>
        </w:rPr>
        <w:t>.IV.2</w:t>
      </w:r>
      <w:r w:rsidRPr="008C3239">
        <w:rPr>
          <w:rFonts w:asciiTheme="majorBidi" w:hAnsiTheme="majorBidi" w:cstheme="majorBidi"/>
          <w:b/>
          <w:bCs/>
        </w:rPr>
        <w:t>) Estimation de la lame d’eau par la méthode des isohyètes.</w:t>
      </w:r>
    </w:p>
    <w:p w:rsidR="008C3239" w:rsidRPr="005644BB" w:rsidRDefault="008C3239" w:rsidP="008C3239">
      <w:pPr>
        <w:tabs>
          <w:tab w:val="left" w:pos="4309"/>
        </w:tabs>
        <w:autoSpaceDE w:val="0"/>
        <w:autoSpaceDN w:val="0"/>
        <w:adjustRightInd w:val="0"/>
        <w:spacing w:after="0" w:line="240" w:lineRule="auto"/>
        <w:ind w:firstLine="708"/>
        <w:jc w:val="both"/>
        <w:rPr>
          <w:rFonts w:asciiTheme="majorBidi" w:hAnsiTheme="majorBidi" w:cstheme="majorBidi"/>
          <w:sz w:val="24"/>
          <w:szCs w:val="24"/>
        </w:rPr>
      </w:pP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lastRenderedPageBreak/>
        <w:t>Parmi les deux méthodes nous retenons la méthode des isohyètes en raison de sa précision, relativement acceptable, pour évaluer la moyenne du bassin versant :</w:t>
      </w:r>
    </w:p>
    <w:p w:rsidR="008C3239" w:rsidRPr="005644BB" w:rsidRDefault="008C3239" w:rsidP="008C3239">
      <w:pPr>
        <w:spacing w:line="360" w:lineRule="auto"/>
        <w:ind w:left="1416"/>
        <w:jc w:val="both"/>
        <w:rPr>
          <w:rFonts w:asciiTheme="majorBidi" w:hAnsiTheme="majorBidi" w:cstheme="majorBidi"/>
          <w:b/>
          <w:bCs/>
          <w:sz w:val="24"/>
          <w:szCs w:val="24"/>
        </w:rPr>
      </w:pPr>
      <w:r w:rsidRPr="005644BB">
        <w:rPr>
          <w:rFonts w:asciiTheme="majorBidi" w:hAnsiTheme="majorBidi" w:cstheme="majorBidi"/>
          <w:b/>
          <w:bCs/>
          <w:sz w:val="24"/>
          <w:szCs w:val="24"/>
        </w:rPr>
        <w:tab/>
      </w:r>
      <w:r w:rsidRPr="005644BB">
        <w:rPr>
          <w:rFonts w:asciiTheme="majorBidi" w:hAnsiTheme="majorBidi" w:cstheme="majorBidi"/>
          <w:b/>
          <w:bCs/>
          <w:sz w:val="24"/>
          <w:szCs w:val="24"/>
        </w:rPr>
        <w:tab/>
      </w:r>
      <w:r w:rsidRPr="005644BB">
        <w:rPr>
          <w:rFonts w:asciiTheme="majorBidi" w:hAnsiTheme="majorBidi" w:cstheme="majorBidi"/>
          <w:b/>
          <w:bCs/>
          <w:sz w:val="24"/>
          <w:szCs w:val="24"/>
        </w:rPr>
        <w:tab/>
      </w:r>
      <w:r w:rsidRPr="005644BB">
        <w:rPr>
          <w:rFonts w:asciiTheme="majorBidi" w:hAnsiTheme="majorBidi" w:cstheme="majorBidi"/>
          <w:b/>
          <w:bCs/>
          <w:sz w:val="24"/>
          <w:szCs w:val="24"/>
        </w:rPr>
        <w:tab/>
      </w:r>
      <m:oMath>
        <m:r>
          <m:rPr>
            <m:sty m:val="b"/>
          </m:rPr>
          <w:rPr>
            <w:rFonts w:ascii="Cambria Math" w:hAnsi="Cambria Math" w:cs="TimesNewRomanPS-BoldMT"/>
            <w:sz w:val="24"/>
            <w:szCs w:val="24"/>
          </w:rPr>
          <m:t>P</m:t>
        </m:r>
      </m:oMath>
      <w:r w:rsidRPr="005644BB">
        <w:rPr>
          <w:rFonts w:asciiTheme="majorBidi" w:hAnsiTheme="majorBidi" w:cstheme="majorBidi"/>
          <w:i/>
          <w:iCs/>
          <w:sz w:val="24"/>
          <w:szCs w:val="24"/>
        </w:rPr>
        <w:t xml:space="preserve"> </w:t>
      </w:r>
      <w:r w:rsidRPr="005644BB">
        <w:rPr>
          <w:rFonts w:asciiTheme="majorBidi" w:hAnsiTheme="majorBidi" w:cstheme="majorBidi"/>
          <w:b/>
          <w:bCs/>
          <w:sz w:val="24"/>
          <w:szCs w:val="24"/>
        </w:rPr>
        <w:t>=283 mm</w:t>
      </w:r>
      <w:r w:rsidRPr="005644BB">
        <w:rPr>
          <w:rFonts w:asciiTheme="majorBidi" w:hAnsiTheme="majorBidi" w:cstheme="majorBidi"/>
          <w:b/>
          <w:bCs/>
          <w:sz w:val="24"/>
          <w:szCs w:val="24"/>
        </w:rPr>
        <w:tab/>
      </w:r>
    </w:p>
    <w:p w:rsidR="008C3239" w:rsidRPr="005644BB"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Pr>
          <w:rFonts w:asciiTheme="majorBidi" w:hAnsiTheme="majorBidi" w:cstheme="majorBidi"/>
          <w:b/>
          <w:bCs/>
          <w:sz w:val="24"/>
          <w:szCs w:val="24"/>
        </w:rPr>
        <w:t>IV.2.2</w:t>
      </w:r>
      <w:r w:rsidR="008C3239" w:rsidRPr="005644BB">
        <w:rPr>
          <w:rFonts w:asciiTheme="majorBidi" w:hAnsiTheme="majorBidi" w:cstheme="majorBidi"/>
          <w:b/>
          <w:bCs/>
          <w:sz w:val="24"/>
          <w:szCs w:val="24"/>
        </w:rPr>
        <w:t xml:space="preserve"> Les précipitations moyennes mensuelles :</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On dispose des données concernant les trois stations (Tkout, Tifelfel et F.Gherza), avec une période allant de 1960 à 2005.</w:t>
      </w: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tblPr>
      <w:tblGrid>
        <w:gridCol w:w="1932"/>
        <w:gridCol w:w="1932"/>
        <w:gridCol w:w="1933"/>
        <w:gridCol w:w="1933"/>
      </w:tblGrid>
      <w:tr w:rsidR="008C3239" w:rsidRPr="005644BB" w:rsidTr="008C3239">
        <w:trPr>
          <w:trHeight w:val="1416"/>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Mois</w:t>
            </w:r>
          </w:p>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TKOUT (mm)</w:t>
            </w:r>
          </w:p>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TIFELFEL (mm)</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FOUM EL-</w:t>
            </w:r>
          </w:p>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GHERZA (mm)</w:t>
            </w:r>
          </w:p>
        </w:tc>
      </w:tr>
      <w:tr w:rsidR="008C3239" w:rsidRPr="005644BB" w:rsidTr="008C3239">
        <w:trPr>
          <w:trHeight w:val="363"/>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Sep</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27,50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16,50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12,04</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Oct</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25</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16,80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9,33</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Nov</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23,70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14,50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16,51</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Dec</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17,10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9,40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8,04</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Jan</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16,60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8,55</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16,26</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Fev</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16,40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14,80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9,24</w:t>
            </w:r>
          </w:p>
        </w:tc>
      </w:tr>
      <w:tr w:rsidR="008C3239" w:rsidRPr="005644BB" w:rsidTr="008C3239">
        <w:trPr>
          <w:trHeight w:val="363"/>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Mar</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27,60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18,25</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14,95</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Avr</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23,60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16,30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11,83</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Mai</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23,20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11,90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8,36</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Jui</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15,20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6,40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5,83</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Juil</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5,80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1,80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0,52</w:t>
            </w:r>
          </w:p>
        </w:tc>
      </w:tr>
      <w:tr w:rsidR="008C3239" w:rsidRPr="005644BB" w:rsidTr="008C3239">
        <w:trPr>
          <w:trHeight w:val="355"/>
          <w:jc w:val="center"/>
        </w:trPr>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Aou</w:t>
            </w:r>
          </w:p>
        </w:tc>
        <w:tc>
          <w:tcPr>
            <w:tcW w:w="1932"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16,90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9,90</w:t>
            </w:r>
          </w:p>
        </w:tc>
        <w:tc>
          <w:tcPr>
            <w:tcW w:w="1933" w:type="dxa"/>
          </w:tcPr>
          <w:p w:rsidR="008C3239" w:rsidRPr="005644BB" w:rsidRDefault="008C3239" w:rsidP="008C3239">
            <w:pPr>
              <w:autoSpaceDE w:val="0"/>
              <w:autoSpaceDN w:val="0"/>
              <w:adjustRightInd w:val="0"/>
              <w:spacing w:line="360" w:lineRule="auto"/>
              <w:jc w:val="center"/>
              <w:rPr>
                <w:rFonts w:asciiTheme="majorBidi" w:hAnsiTheme="majorBidi" w:cstheme="majorBidi"/>
                <w:sz w:val="24"/>
                <w:szCs w:val="24"/>
              </w:rPr>
            </w:pPr>
            <w:r w:rsidRPr="005644BB">
              <w:rPr>
                <w:rFonts w:asciiTheme="majorBidi" w:hAnsiTheme="majorBidi" w:cstheme="majorBidi"/>
                <w:sz w:val="24"/>
                <w:szCs w:val="24"/>
              </w:rPr>
              <w:t>3,93</w:t>
            </w:r>
          </w:p>
        </w:tc>
      </w:tr>
    </w:tbl>
    <w:p w:rsidR="008C3239" w:rsidRDefault="008C3239" w:rsidP="008C3239">
      <w:pPr>
        <w:spacing w:line="360" w:lineRule="auto"/>
        <w:ind w:left="5664" w:firstLine="708"/>
        <w:jc w:val="center"/>
        <w:rPr>
          <w:rFonts w:asciiTheme="majorBidi" w:hAnsiTheme="majorBidi" w:cstheme="majorBidi"/>
          <w:sz w:val="24"/>
          <w:szCs w:val="24"/>
        </w:rPr>
      </w:pPr>
      <w:r w:rsidRPr="005644BB">
        <w:rPr>
          <w:rFonts w:asciiTheme="majorBidi" w:hAnsiTheme="majorBidi" w:cstheme="majorBidi"/>
          <w:sz w:val="24"/>
          <w:szCs w:val="24"/>
        </w:rPr>
        <w:t xml:space="preserve"> Source : A.N.R.H</w:t>
      </w:r>
    </w:p>
    <w:p w:rsidR="008C3239" w:rsidRPr="005644BB" w:rsidRDefault="008C3239" w:rsidP="008C3239">
      <w:pPr>
        <w:autoSpaceDE w:val="0"/>
        <w:autoSpaceDN w:val="0"/>
        <w:adjustRightInd w:val="0"/>
        <w:spacing w:after="0" w:line="360" w:lineRule="auto"/>
        <w:jc w:val="center"/>
        <w:rPr>
          <w:rFonts w:asciiTheme="majorBidi" w:hAnsiTheme="majorBidi" w:cstheme="majorBidi"/>
          <w:b/>
          <w:bCs/>
          <w:sz w:val="24"/>
          <w:szCs w:val="24"/>
        </w:rPr>
      </w:pPr>
      <w:r w:rsidRPr="005644BB">
        <w:rPr>
          <w:rFonts w:asciiTheme="majorBidi" w:hAnsiTheme="majorBidi" w:cstheme="majorBidi"/>
          <w:b/>
          <w:bCs/>
          <w:sz w:val="24"/>
          <w:szCs w:val="24"/>
        </w:rPr>
        <w:t>Tableau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008A4F90">
        <w:rPr>
          <w:rFonts w:asciiTheme="majorBidi" w:hAnsiTheme="majorBidi" w:cstheme="majorBidi"/>
          <w:b/>
          <w:bCs/>
          <w:sz w:val="24"/>
          <w:szCs w:val="24"/>
        </w:rPr>
        <w:t>IV.3</w:t>
      </w:r>
      <w:r w:rsidRPr="005644BB">
        <w:rPr>
          <w:rFonts w:asciiTheme="majorBidi" w:hAnsiTheme="majorBidi" w:cstheme="majorBidi"/>
          <w:b/>
          <w:bCs/>
          <w:sz w:val="24"/>
          <w:szCs w:val="24"/>
        </w:rPr>
        <w:t>) : Précipitations moyennes mensuelles.</w:t>
      </w:r>
    </w:p>
    <w:p w:rsidR="008C3239" w:rsidRPr="008C3239" w:rsidRDefault="008C3239" w:rsidP="008C3239">
      <w:pPr>
        <w:tabs>
          <w:tab w:val="left" w:pos="1605"/>
        </w:tabs>
        <w:jc w:val="center"/>
        <w:rPr>
          <w:rFonts w:asciiTheme="majorBidi" w:hAnsiTheme="majorBidi" w:cstheme="majorBidi"/>
          <w:sz w:val="24"/>
          <w:szCs w:val="24"/>
        </w:rPr>
      </w:pPr>
    </w:p>
    <w:p w:rsidR="008C3239" w:rsidRPr="005644BB" w:rsidRDefault="008C3239" w:rsidP="008C3239">
      <w:pPr>
        <w:spacing w:line="360" w:lineRule="auto"/>
        <w:jc w:val="center"/>
        <w:rPr>
          <w:rFonts w:asciiTheme="majorBidi" w:hAnsiTheme="majorBidi" w:cstheme="majorBidi"/>
          <w:color w:val="FF0000"/>
          <w:sz w:val="24"/>
          <w:szCs w:val="24"/>
        </w:rPr>
      </w:pPr>
      <w:r w:rsidRPr="005644BB">
        <w:rPr>
          <w:rFonts w:asciiTheme="majorBidi" w:hAnsiTheme="majorBidi" w:cstheme="majorBidi"/>
          <w:noProof/>
          <w:color w:val="FF0000"/>
          <w:sz w:val="24"/>
          <w:szCs w:val="24"/>
        </w:rPr>
        <w:lastRenderedPageBreak/>
        <w:drawing>
          <wp:inline distT="0" distB="0" distL="0" distR="0">
            <wp:extent cx="5570982" cy="2676144"/>
            <wp:effectExtent l="19050" t="0" r="10668" b="0"/>
            <wp:docPr id="10"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C3239" w:rsidRPr="005644BB" w:rsidRDefault="008C3239" w:rsidP="008A4F90">
      <w:pPr>
        <w:spacing w:line="360" w:lineRule="auto"/>
        <w:jc w:val="center"/>
        <w:rPr>
          <w:rFonts w:asciiTheme="majorBidi" w:hAnsiTheme="majorBidi" w:cstheme="majorBidi"/>
          <w:sz w:val="24"/>
          <w:szCs w:val="24"/>
        </w:rPr>
      </w:pPr>
      <w:r w:rsidRPr="005644BB">
        <w:rPr>
          <w:rFonts w:asciiTheme="majorBidi" w:hAnsiTheme="majorBidi" w:cstheme="majorBidi"/>
          <w:b/>
          <w:bCs/>
          <w:sz w:val="24"/>
          <w:szCs w:val="24"/>
        </w:rPr>
        <w:t>Figure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Pr="005644BB">
        <w:rPr>
          <w:rFonts w:asciiTheme="majorBidi" w:hAnsiTheme="majorBidi" w:cstheme="majorBidi"/>
          <w:b/>
          <w:bCs/>
          <w:sz w:val="24"/>
          <w:szCs w:val="24"/>
        </w:rPr>
        <w:t>IV.</w:t>
      </w:r>
      <w:r w:rsidR="008A4F90">
        <w:rPr>
          <w:rFonts w:asciiTheme="majorBidi" w:hAnsiTheme="majorBidi" w:cstheme="majorBidi"/>
          <w:b/>
          <w:bCs/>
          <w:sz w:val="24"/>
          <w:szCs w:val="24"/>
        </w:rPr>
        <w:t>3</w:t>
      </w:r>
      <w:r w:rsidRPr="005644BB">
        <w:rPr>
          <w:rFonts w:asciiTheme="majorBidi" w:hAnsiTheme="majorBidi" w:cstheme="majorBidi"/>
          <w:b/>
          <w:bCs/>
          <w:sz w:val="24"/>
          <w:szCs w:val="24"/>
        </w:rPr>
        <w:t>)</w:t>
      </w:r>
      <w:r w:rsidR="008A4F90">
        <w:rPr>
          <w:rFonts w:asciiTheme="majorBidi" w:hAnsiTheme="majorBidi" w:cstheme="majorBidi"/>
          <w:b/>
          <w:bCs/>
          <w:sz w:val="24"/>
          <w:szCs w:val="24"/>
        </w:rPr>
        <w:t> :</w:t>
      </w:r>
      <w:r w:rsidRPr="005644BB">
        <w:rPr>
          <w:rFonts w:asciiTheme="majorBidi" w:hAnsiTheme="majorBidi" w:cstheme="majorBidi"/>
          <w:b/>
          <w:bCs/>
          <w:sz w:val="24"/>
          <w:szCs w:val="24"/>
        </w:rPr>
        <w:t xml:space="preserve"> </w:t>
      </w:r>
      <w:r w:rsidRPr="005644BB">
        <w:rPr>
          <w:rFonts w:asciiTheme="majorBidi" w:hAnsiTheme="majorBidi" w:cstheme="majorBidi"/>
          <w:sz w:val="24"/>
          <w:szCs w:val="24"/>
        </w:rPr>
        <w:t>Variation de la précipitation moyenne mensuelle.</w:t>
      </w:r>
    </w:p>
    <w:p w:rsidR="008C3239" w:rsidRPr="005644BB" w:rsidRDefault="008C3239" w:rsidP="008C3239">
      <w:pPr>
        <w:rPr>
          <w:rFonts w:asciiTheme="majorBidi" w:hAnsiTheme="majorBidi" w:cstheme="majorBidi"/>
          <w:sz w:val="24"/>
          <w:szCs w:val="24"/>
        </w:rPr>
      </w:pPr>
      <w:r w:rsidRPr="005644BB">
        <w:rPr>
          <w:rFonts w:asciiTheme="majorBidi" w:hAnsiTheme="majorBidi" w:cstheme="majorBidi"/>
          <w:sz w:val="24"/>
          <w:szCs w:val="24"/>
        </w:rPr>
        <w:t>Le bassin objet d’étude est caractérisé par l’irrégularité et la diminution des précipitations qui s’affirment en allant de plus en plus vers le Sud (climat aride</w:t>
      </w:r>
    </w:p>
    <w:p w:rsidR="008C3239" w:rsidRPr="005644BB" w:rsidRDefault="008C3239" w:rsidP="00B039E8">
      <w:pPr>
        <w:spacing w:line="360" w:lineRule="auto"/>
        <w:rPr>
          <w:rFonts w:asciiTheme="majorBidi" w:hAnsiTheme="majorBidi" w:cstheme="majorBidi"/>
          <w:sz w:val="24"/>
          <w:szCs w:val="24"/>
        </w:rPr>
      </w:pPr>
    </w:p>
    <w:p w:rsidR="008C3239" w:rsidRPr="005644BB" w:rsidRDefault="001F62E5" w:rsidP="00B039E8">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8C3239" w:rsidRPr="005644BB">
        <w:rPr>
          <w:rFonts w:asciiTheme="majorBidi" w:hAnsiTheme="majorBidi" w:cstheme="majorBidi"/>
          <w:b/>
          <w:bCs/>
          <w:sz w:val="24"/>
          <w:szCs w:val="24"/>
        </w:rPr>
        <w:t>IV.3- Etude hydrologique :</w:t>
      </w:r>
    </w:p>
    <w:p w:rsidR="008C3239" w:rsidRPr="005644BB" w:rsidRDefault="001F62E5" w:rsidP="00B039E8">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8C3239" w:rsidRPr="005644BB">
        <w:rPr>
          <w:rFonts w:asciiTheme="majorBidi" w:hAnsiTheme="majorBidi" w:cstheme="majorBidi"/>
          <w:b/>
          <w:bCs/>
          <w:sz w:val="24"/>
          <w:szCs w:val="24"/>
        </w:rPr>
        <w:t>IV.3.1- Etude des crues :</w:t>
      </w:r>
    </w:p>
    <w:p w:rsidR="008C3239" w:rsidRPr="005644BB" w:rsidRDefault="008C3239" w:rsidP="00B039E8">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 xml:space="preserve">Pour l’étude de ce volet, nous disposons de deux séries d’observations acquises auprès des services de l’A.N.B.T. La première série date de 1938 / 1951 (ancienne) et la série récente qui date de 1975 / 2006. Pour la série ancienne, et malgré le manque d’informations sur les crues de l’Oued El </w:t>
      </w:r>
      <w:r w:rsidR="00B039E8" w:rsidRPr="005644BB">
        <w:rPr>
          <w:rFonts w:asciiTheme="majorBidi" w:hAnsiTheme="majorBidi" w:cstheme="majorBidi"/>
          <w:sz w:val="24"/>
          <w:szCs w:val="24"/>
        </w:rPr>
        <w:t>Abiod</w:t>
      </w:r>
      <w:r w:rsidRPr="005644BB">
        <w:rPr>
          <w:rFonts w:asciiTheme="majorBidi" w:hAnsiTheme="majorBidi" w:cstheme="majorBidi"/>
          <w:sz w:val="24"/>
          <w:szCs w:val="24"/>
        </w:rPr>
        <w:t>, il est à noter que ces dernières étaient nombreuses et catastrophiques d’après les témoignages. Quant à la série récente, nous disposons de relevés parsemés sur 30ans (1977/2006), avec des débits par fois considérables (237m³/s jusqu’à 3400³m/s). C’est le cas de la crue du 03/04Mai 2006, qui à causé beaucoup de dégâts et ravagé de vastes terrains agricoles. Le tableau ci-dessous représente les caractéristiques des crues observés à la station de M’chounèche et au site du barrage :</w:t>
      </w:r>
    </w:p>
    <w:p w:rsidR="008C3239" w:rsidRPr="005644BB" w:rsidRDefault="008C3239" w:rsidP="00B039E8">
      <w:pPr>
        <w:spacing w:line="360" w:lineRule="auto"/>
        <w:jc w:val="center"/>
        <w:rPr>
          <w:rFonts w:asciiTheme="majorBidi" w:hAnsiTheme="majorBidi" w:cstheme="majorBidi"/>
          <w:sz w:val="24"/>
          <w:szCs w:val="24"/>
        </w:rPr>
      </w:pPr>
    </w:p>
    <w:p w:rsidR="008C3239" w:rsidRDefault="008C3239" w:rsidP="008C3239">
      <w:pPr>
        <w:spacing w:line="360" w:lineRule="auto"/>
        <w:jc w:val="center"/>
        <w:rPr>
          <w:rFonts w:asciiTheme="majorBidi" w:hAnsiTheme="majorBidi" w:cstheme="majorBidi"/>
          <w:sz w:val="24"/>
          <w:szCs w:val="24"/>
        </w:rPr>
      </w:pPr>
    </w:p>
    <w:p w:rsidR="008C3239" w:rsidRDefault="008C3239" w:rsidP="008C3239">
      <w:pPr>
        <w:spacing w:line="360" w:lineRule="auto"/>
        <w:jc w:val="center"/>
        <w:rPr>
          <w:rFonts w:asciiTheme="majorBidi" w:hAnsiTheme="majorBidi" w:cstheme="majorBidi"/>
          <w:sz w:val="24"/>
          <w:szCs w:val="24"/>
        </w:rPr>
      </w:pPr>
    </w:p>
    <w:p w:rsidR="008C3239" w:rsidRPr="005644BB" w:rsidRDefault="008C3239" w:rsidP="00B039E8">
      <w:pPr>
        <w:spacing w:line="360" w:lineRule="auto"/>
        <w:rPr>
          <w:rFonts w:asciiTheme="majorBidi" w:hAnsiTheme="majorBidi" w:cstheme="majorBidi"/>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insideV w:val="single" w:sz="4" w:space="0" w:color="auto"/>
        </w:tblBorders>
        <w:tblLook w:val="04A0"/>
      </w:tblPr>
      <w:tblGrid>
        <w:gridCol w:w="2302"/>
        <w:gridCol w:w="2303"/>
        <w:gridCol w:w="2302"/>
        <w:gridCol w:w="2303"/>
      </w:tblGrid>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lastRenderedPageBreak/>
              <w:t>Année</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Date de la crue</w:t>
            </w:r>
          </w:p>
        </w:tc>
        <w:tc>
          <w:tcPr>
            <w:tcW w:w="2302" w:type="dxa"/>
            <w:vAlign w:val="center"/>
          </w:tcPr>
          <w:p w:rsidR="008C3239" w:rsidRPr="005644BB" w:rsidRDefault="008C3239" w:rsidP="008C3239">
            <w:pPr>
              <w:autoSpaceDE w:val="0"/>
              <w:autoSpaceDN w:val="0"/>
              <w:adjustRightInd w:val="0"/>
              <w:ind w:left="255"/>
              <w:jc w:val="center"/>
              <w:rPr>
                <w:rFonts w:asciiTheme="majorBidi" w:hAnsiTheme="majorBidi" w:cstheme="majorBidi"/>
                <w:sz w:val="24"/>
                <w:szCs w:val="24"/>
              </w:rPr>
            </w:pPr>
            <w:r w:rsidRPr="005644BB">
              <w:rPr>
                <w:rFonts w:asciiTheme="majorBidi" w:hAnsiTheme="majorBidi" w:cstheme="majorBidi"/>
                <w:sz w:val="24"/>
                <w:szCs w:val="24"/>
              </w:rPr>
              <w:t>Q journalier (m³/s)</w:t>
            </w:r>
          </w:p>
        </w:tc>
        <w:tc>
          <w:tcPr>
            <w:tcW w:w="2303" w:type="dxa"/>
            <w:vAlign w:val="center"/>
          </w:tcPr>
          <w:p w:rsidR="008C3239" w:rsidRPr="005644BB" w:rsidRDefault="008C3239" w:rsidP="008C3239">
            <w:pPr>
              <w:autoSpaceDE w:val="0"/>
              <w:autoSpaceDN w:val="0"/>
              <w:adjustRightInd w:val="0"/>
              <w:ind w:left="454"/>
              <w:jc w:val="center"/>
              <w:rPr>
                <w:rFonts w:asciiTheme="majorBidi" w:hAnsiTheme="majorBidi" w:cstheme="majorBidi"/>
                <w:sz w:val="24"/>
                <w:szCs w:val="24"/>
              </w:rPr>
            </w:pPr>
            <w:r w:rsidRPr="005644BB">
              <w:rPr>
                <w:rFonts w:asciiTheme="majorBidi" w:hAnsiTheme="majorBidi" w:cstheme="majorBidi"/>
                <w:sz w:val="24"/>
                <w:szCs w:val="24"/>
              </w:rPr>
              <w:t>Q max (m³/s)</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1977/1978</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26.08.78</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28</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237</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1978/1979</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03.09.79</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73.40</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283</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1980/1981</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25.06.81</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53.9</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297</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1982/1983</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11.09.82</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49.3</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305</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1982/1983</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03.11.82</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94.2</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222</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1983/1984</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29.08.84</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28.3</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247</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2001</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30.09.01</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140.12</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425.556</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2004</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29/ 30.03.04</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155</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1080</w:t>
            </w:r>
          </w:p>
        </w:tc>
      </w:tr>
      <w:tr w:rsidR="008C3239" w:rsidRPr="005644BB" w:rsidTr="00B039E8">
        <w:trPr>
          <w:trHeight w:val="397"/>
          <w:jc w:val="center"/>
        </w:trPr>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2004</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15/16.04.04</w:t>
            </w:r>
          </w:p>
        </w:tc>
        <w:tc>
          <w:tcPr>
            <w:tcW w:w="2302"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144.5</w:t>
            </w:r>
          </w:p>
        </w:tc>
        <w:tc>
          <w:tcPr>
            <w:tcW w:w="2303" w:type="dxa"/>
            <w:vAlign w:val="center"/>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510</w:t>
            </w:r>
          </w:p>
        </w:tc>
      </w:tr>
      <w:tr w:rsidR="008C3239" w:rsidRPr="005644BB" w:rsidTr="00B039E8">
        <w:trPr>
          <w:trHeight w:val="397"/>
          <w:jc w:val="center"/>
        </w:trPr>
        <w:tc>
          <w:tcPr>
            <w:tcW w:w="2302" w:type="dxa"/>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 xml:space="preserve">2006 </w:t>
            </w:r>
          </w:p>
        </w:tc>
        <w:tc>
          <w:tcPr>
            <w:tcW w:w="2303" w:type="dxa"/>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 xml:space="preserve">03/04.05.06 </w:t>
            </w:r>
          </w:p>
        </w:tc>
        <w:tc>
          <w:tcPr>
            <w:tcW w:w="2302" w:type="dxa"/>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 xml:space="preserve">160 </w:t>
            </w:r>
          </w:p>
        </w:tc>
        <w:tc>
          <w:tcPr>
            <w:tcW w:w="2303" w:type="dxa"/>
          </w:tcPr>
          <w:p w:rsidR="008C3239" w:rsidRPr="005644BB" w:rsidRDefault="008C3239" w:rsidP="008C3239">
            <w:pPr>
              <w:autoSpaceDE w:val="0"/>
              <w:autoSpaceDN w:val="0"/>
              <w:adjustRightInd w:val="0"/>
              <w:jc w:val="center"/>
              <w:rPr>
                <w:rFonts w:asciiTheme="majorBidi" w:hAnsiTheme="majorBidi" w:cstheme="majorBidi"/>
                <w:sz w:val="24"/>
                <w:szCs w:val="24"/>
              </w:rPr>
            </w:pPr>
            <w:r w:rsidRPr="005644BB">
              <w:rPr>
                <w:rFonts w:asciiTheme="majorBidi" w:hAnsiTheme="majorBidi" w:cstheme="majorBidi"/>
                <w:sz w:val="24"/>
                <w:szCs w:val="24"/>
              </w:rPr>
              <w:t>3400</w:t>
            </w:r>
          </w:p>
        </w:tc>
      </w:tr>
    </w:tbl>
    <w:p w:rsidR="00B039E8" w:rsidRDefault="00B039E8" w:rsidP="008C3239">
      <w:pPr>
        <w:spacing w:line="360" w:lineRule="auto"/>
        <w:jc w:val="center"/>
        <w:rPr>
          <w:rFonts w:asciiTheme="majorBidi" w:hAnsiTheme="majorBidi" w:cstheme="majorBidi"/>
          <w:b/>
          <w:bCs/>
        </w:rPr>
      </w:pPr>
    </w:p>
    <w:p w:rsidR="008C3239" w:rsidRPr="00B039E8" w:rsidRDefault="008C3239" w:rsidP="008A4F90">
      <w:pPr>
        <w:spacing w:line="360" w:lineRule="auto"/>
        <w:jc w:val="center"/>
        <w:rPr>
          <w:rFonts w:asciiTheme="majorBidi" w:hAnsiTheme="majorBidi" w:cstheme="majorBidi"/>
          <w:b/>
          <w:bCs/>
        </w:rPr>
      </w:pPr>
      <w:r w:rsidRPr="00B039E8">
        <w:rPr>
          <w:rFonts w:asciiTheme="majorBidi" w:hAnsiTheme="majorBidi" w:cstheme="majorBidi"/>
          <w:b/>
          <w:bCs/>
        </w:rPr>
        <w:t>Tableau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Pr="00B039E8">
        <w:rPr>
          <w:rFonts w:asciiTheme="majorBidi" w:hAnsiTheme="majorBidi" w:cstheme="majorBidi"/>
          <w:b/>
          <w:bCs/>
        </w:rPr>
        <w:t>IV.</w:t>
      </w:r>
      <w:r w:rsidR="008A4F90">
        <w:rPr>
          <w:rFonts w:asciiTheme="majorBidi" w:hAnsiTheme="majorBidi" w:cstheme="majorBidi"/>
          <w:b/>
          <w:bCs/>
        </w:rPr>
        <w:t>4</w:t>
      </w:r>
      <w:r w:rsidRPr="00B039E8">
        <w:rPr>
          <w:rFonts w:asciiTheme="majorBidi" w:hAnsiTheme="majorBidi" w:cstheme="majorBidi"/>
          <w:b/>
          <w:bCs/>
        </w:rPr>
        <w:t>) : Caractéristiques des crues.                   (Source : A.N.B</w:t>
      </w:r>
      <w:r w:rsidR="00B039E8" w:rsidRPr="00B039E8">
        <w:rPr>
          <w:rFonts w:asciiTheme="majorBidi" w:hAnsiTheme="majorBidi" w:cstheme="majorBidi"/>
          <w:b/>
          <w:bCs/>
        </w:rPr>
        <w:t>.)</w:t>
      </w:r>
    </w:p>
    <w:p w:rsidR="008C3239" w:rsidRPr="00B039E8" w:rsidRDefault="008C3239" w:rsidP="008C3239">
      <w:pPr>
        <w:autoSpaceDE w:val="0"/>
        <w:autoSpaceDN w:val="0"/>
        <w:adjustRightInd w:val="0"/>
        <w:spacing w:after="0" w:line="360" w:lineRule="auto"/>
        <w:jc w:val="both"/>
        <w:rPr>
          <w:rFonts w:asciiTheme="majorBidi" w:hAnsiTheme="majorBidi" w:cstheme="majorBidi"/>
          <w:b/>
          <w:bCs/>
        </w:rPr>
      </w:pP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8C3239" w:rsidRPr="005644BB">
        <w:rPr>
          <w:rFonts w:asciiTheme="majorBidi" w:hAnsiTheme="majorBidi" w:cstheme="majorBidi"/>
          <w:b/>
          <w:bCs/>
          <w:sz w:val="24"/>
          <w:szCs w:val="24"/>
        </w:rPr>
        <w:t>IV.3.2 Etude de l’apport liquide :</w:t>
      </w:r>
    </w:p>
    <w:p w:rsidR="008C3239" w:rsidRPr="005644BB" w:rsidRDefault="008C3239" w:rsidP="00B039E8">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Cette étude sera basée uniquement sur les données hydrométriques acquises auprès des services de l’A.N.R.H d’ Alger, la station est situé à l’exutoire du bassin versant et dispose d’une série d’observations de 23 ans (1971-1994).</w:t>
      </w:r>
    </w:p>
    <w:p w:rsidR="008C3239" w:rsidRPr="005644BB" w:rsidRDefault="008C3239" w:rsidP="00B039E8">
      <w:pPr>
        <w:spacing w:line="240" w:lineRule="auto"/>
        <w:rPr>
          <w:rFonts w:asciiTheme="majorBidi" w:hAnsiTheme="majorBidi" w:cstheme="majorBidi"/>
          <w:b/>
          <w:bCs/>
          <w:sz w:val="24"/>
          <w:szCs w:val="24"/>
        </w:rPr>
      </w:pPr>
      <w:r w:rsidRPr="005644BB">
        <w:rPr>
          <w:rFonts w:asciiTheme="majorBidi" w:hAnsiTheme="majorBidi" w:cstheme="majorBidi"/>
          <w:b/>
          <w:bCs/>
          <w:sz w:val="24"/>
          <w:szCs w:val="24"/>
        </w:rPr>
        <w:t>.</w:t>
      </w:r>
    </w:p>
    <w:tbl>
      <w:tblPr>
        <w:tblStyle w:val="Grilledutableau"/>
        <w:tblW w:w="8369" w:type="dxa"/>
        <w:jc w:val="center"/>
        <w:tblLook w:val="04A0"/>
      </w:tblPr>
      <w:tblGrid>
        <w:gridCol w:w="2415"/>
        <w:gridCol w:w="2065"/>
        <w:gridCol w:w="1728"/>
        <w:gridCol w:w="2161"/>
      </w:tblGrid>
      <w:tr w:rsidR="008C3239" w:rsidRPr="00B039E8" w:rsidTr="008C3239">
        <w:trPr>
          <w:trHeight w:val="698"/>
          <w:jc w:val="center"/>
        </w:trPr>
        <w:tc>
          <w:tcPr>
            <w:tcW w:w="2415" w:type="dxa"/>
            <w:hideMark/>
          </w:tcPr>
          <w:p w:rsidR="008C3239" w:rsidRPr="00B039E8" w:rsidRDefault="008C3239" w:rsidP="008C3239">
            <w:pPr>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Année</w:t>
            </w:r>
          </w:p>
        </w:tc>
        <w:tc>
          <w:tcPr>
            <w:tcW w:w="2065" w:type="dxa"/>
            <w:hideMark/>
          </w:tcPr>
          <w:p w:rsidR="008C3239" w:rsidRPr="00B039E8" w:rsidRDefault="008C3239" w:rsidP="008C3239">
            <w:pPr>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Apport (hm³)</w:t>
            </w:r>
          </w:p>
        </w:tc>
        <w:tc>
          <w:tcPr>
            <w:tcW w:w="1728" w:type="dxa"/>
            <w:hideMark/>
          </w:tcPr>
          <w:p w:rsidR="008C3239" w:rsidRPr="00B039E8" w:rsidRDefault="008C3239" w:rsidP="008C3239">
            <w:pPr>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Q,max (m³/s)</w:t>
            </w:r>
          </w:p>
        </w:tc>
        <w:tc>
          <w:tcPr>
            <w:tcW w:w="2161" w:type="dxa"/>
            <w:hideMark/>
          </w:tcPr>
          <w:p w:rsidR="008C3239" w:rsidRPr="00B039E8" w:rsidRDefault="008C3239" w:rsidP="008C3239">
            <w:pPr>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Lame d’eau (mm)</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1971/1972</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17,96</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0,69</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13,82</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1972/1973</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32,51</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1,03</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25,01</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1973/1974</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8,77</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0,28</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6,75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1974/1975</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13,32</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0,43</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10,25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1975/1976</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18,00</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0,58</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13,85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1976/1977</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39,44</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1,29</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30,34</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1977/1978</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7,86</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0,30</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6,05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1978/1979</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7,26</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0,23</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5,58</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1979/1980</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21,81</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0,67</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16,78</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1980/1981</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15,66</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1,33</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12,05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lastRenderedPageBreak/>
              <w:t>1981/1982</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4,60</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0,60</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3,54</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1982/1983</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9,49</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1,19</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7,30</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1983/1984</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6,54</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0,30</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5,03</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1984/1985</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12,31</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0,67</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9,47</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1985/1986</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10,10</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0,43</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7,77</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1986/1987</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9,49</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0,50</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7,30</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1987/1988</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3,53</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0,12</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2,72</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1988/1989</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8,99</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0,28</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6,92</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1989/1990</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19,84</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0,64</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15,26</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1990/1991</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5,50</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0,17</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4,23</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1991/1992</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3,58</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0,11</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2,75</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1992/1993</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4,33</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1,37</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3,33</w:t>
            </w:r>
          </w:p>
        </w:tc>
      </w:tr>
      <w:tr w:rsidR="008C3239" w:rsidRPr="00B039E8" w:rsidTr="008C3239">
        <w:trPr>
          <w:trHeight w:val="419"/>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1993/1994</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3,10</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0,10</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color w:val="000000"/>
                <w:lang w:eastAsia="fr-FR"/>
              </w:rPr>
            </w:pPr>
            <w:r w:rsidRPr="00B039E8">
              <w:rPr>
                <w:rFonts w:asciiTheme="majorBidi" w:eastAsia="Times New Roman" w:hAnsiTheme="majorBidi" w:cstheme="majorBidi"/>
                <w:color w:val="000000"/>
                <w:lang w:eastAsia="fr-FR"/>
              </w:rPr>
              <w:t>2,38</w:t>
            </w:r>
          </w:p>
        </w:tc>
      </w:tr>
      <w:tr w:rsidR="008C3239" w:rsidRPr="00B039E8" w:rsidTr="008C3239">
        <w:trPr>
          <w:trHeight w:val="321"/>
          <w:jc w:val="center"/>
        </w:trPr>
        <w:tc>
          <w:tcPr>
            <w:tcW w:w="2415" w:type="dxa"/>
            <w:hideMark/>
          </w:tcPr>
          <w:p w:rsidR="008C3239" w:rsidRPr="00B039E8" w:rsidRDefault="008C3239" w:rsidP="008C3239">
            <w:pPr>
              <w:spacing w:line="360" w:lineRule="auto"/>
              <w:jc w:val="center"/>
              <w:rPr>
                <w:rFonts w:asciiTheme="majorBidi" w:eastAsia="Times New Roman" w:hAnsiTheme="majorBidi" w:cstheme="majorBidi"/>
                <w:lang w:eastAsia="fr-FR"/>
              </w:rPr>
            </w:pPr>
            <w:r w:rsidRPr="00B039E8">
              <w:rPr>
                <w:rFonts w:asciiTheme="majorBidi" w:eastAsia="Times New Roman" w:hAnsiTheme="majorBidi" w:cstheme="majorBidi"/>
                <w:lang w:eastAsia="fr-FR"/>
              </w:rPr>
              <w:t>La moyenne</w:t>
            </w:r>
          </w:p>
        </w:tc>
        <w:tc>
          <w:tcPr>
            <w:tcW w:w="2065" w:type="dxa"/>
            <w:hideMark/>
          </w:tcPr>
          <w:p w:rsidR="008C3239" w:rsidRPr="00B039E8" w:rsidRDefault="008C3239" w:rsidP="008C3239">
            <w:pPr>
              <w:spacing w:line="360" w:lineRule="auto"/>
              <w:jc w:val="center"/>
              <w:rPr>
                <w:rFonts w:asciiTheme="majorBidi" w:eastAsia="Times New Roman" w:hAnsiTheme="majorBidi" w:cstheme="majorBidi"/>
                <w:lang w:eastAsia="fr-FR"/>
              </w:rPr>
            </w:pPr>
            <w:r w:rsidRPr="00B039E8">
              <w:rPr>
                <w:rFonts w:asciiTheme="majorBidi" w:eastAsia="Times New Roman" w:hAnsiTheme="majorBidi" w:cstheme="majorBidi"/>
                <w:lang w:eastAsia="fr-FR"/>
              </w:rPr>
              <w:t>12,35</w:t>
            </w:r>
          </w:p>
        </w:tc>
        <w:tc>
          <w:tcPr>
            <w:tcW w:w="1728" w:type="dxa"/>
            <w:hideMark/>
          </w:tcPr>
          <w:p w:rsidR="008C3239" w:rsidRPr="00B039E8" w:rsidRDefault="008C3239" w:rsidP="008C3239">
            <w:pPr>
              <w:spacing w:line="360" w:lineRule="auto"/>
              <w:jc w:val="center"/>
              <w:rPr>
                <w:rFonts w:asciiTheme="majorBidi" w:eastAsia="Times New Roman" w:hAnsiTheme="majorBidi" w:cstheme="majorBidi"/>
                <w:lang w:eastAsia="fr-FR"/>
              </w:rPr>
            </w:pPr>
            <w:r w:rsidRPr="00B039E8">
              <w:rPr>
                <w:rFonts w:asciiTheme="majorBidi" w:eastAsia="Times New Roman" w:hAnsiTheme="majorBidi" w:cstheme="majorBidi"/>
                <w:lang w:eastAsia="fr-FR"/>
              </w:rPr>
              <w:t> </w:t>
            </w:r>
          </w:p>
        </w:tc>
        <w:tc>
          <w:tcPr>
            <w:tcW w:w="2161" w:type="dxa"/>
            <w:hideMark/>
          </w:tcPr>
          <w:p w:rsidR="008C3239" w:rsidRPr="00B039E8" w:rsidRDefault="008C3239" w:rsidP="008C3239">
            <w:pPr>
              <w:spacing w:line="360" w:lineRule="auto"/>
              <w:jc w:val="center"/>
              <w:rPr>
                <w:rFonts w:asciiTheme="majorBidi" w:eastAsia="Times New Roman" w:hAnsiTheme="majorBidi" w:cstheme="majorBidi"/>
                <w:lang w:eastAsia="fr-FR"/>
              </w:rPr>
            </w:pPr>
            <w:r w:rsidRPr="00B039E8">
              <w:rPr>
                <w:rFonts w:asciiTheme="majorBidi" w:eastAsia="Times New Roman" w:hAnsiTheme="majorBidi" w:cstheme="majorBidi"/>
                <w:lang w:eastAsia="fr-FR"/>
              </w:rPr>
              <w:t>9,50</w:t>
            </w:r>
          </w:p>
        </w:tc>
      </w:tr>
    </w:tbl>
    <w:p w:rsidR="00B039E8" w:rsidRDefault="00B039E8" w:rsidP="00B039E8">
      <w:pPr>
        <w:spacing w:line="360" w:lineRule="auto"/>
        <w:rPr>
          <w:rFonts w:asciiTheme="majorBidi" w:hAnsiTheme="majorBidi" w:cstheme="majorBidi"/>
          <w:b/>
          <w:bCs/>
          <w:sz w:val="24"/>
          <w:szCs w:val="24"/>
        </w:rPr>
      </w:pPr>
    </w:p>
    <w:p w:rsidR="008C3239" w:rsidRPr="00B039E8" w:rsidRDefault="00B039E8" w:rsidP="00B039E8">
      <w:pPr>
        <w:spacing w:line="360" w:lineRule="auto"/>
        <w:jc w:val="center"/>
        <w:rPr>
          <w:rFonts w:asciiTheme="majorBidi" w:hAnsiTheme="majorBidi" w:cstheme="majorBidi"/>
          <w:b/>
          <w:bCs/>
        </w:rPr>
      </w:pPr>
      <w:r w:rsidRPr="005644BB">
        <w:rPr>
          <w:rFonts w:asciiTheme="majorBidi" w:hAnsiTheme="majorBidi" w:cstheme="majorBidi"/>
          <w:b/>
          <w:bCs/>
          <w:sz w:val="24"/>
          <w:szCs w:val="24"/>
        </w:rPr>
        <w:t>Tableau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00F942ED">
        <w:rPr>
          <w:rFonts w:asciiTheme="majorBidi" w:hAnsiTheme="majorBidi" w:cstheme="majorBidi"/>
          <w:b/>
          <w:bCs/>
          <w:sz w:val="24"/>
          <w:szCs w:val="24"/>
        </w:rPr>
        <w:t>IV.5</w:t>
      </w:r>
      <w:r w:rsidRPr="005644BB">
        <w:rPr>
          <w:rFonts w:asciiTheme="majorBidi" w:hAnsiTheme="majorBidi" w:cstheme="majorBidi"/>
          <w:b/>
          <w:bCs/>
          <w:sz w:val="24"/>
          <w:szCs w:val="24"/>
        </w:rPr>
        <w:t>) Les données hydrométriques de M’chounèche</w:t>
      </w:r>
      <w:r>
        <w:rPr>
          <w:rFonts w:asciiTheme="majorBidi" w:hAnsiTheme="majorBidi" w:cstheme="majorBidi"/>
          <w:b/>
          <w:bCs/>
          <w:sz w:val="24"/>
          <w:szCs w:val="24"/>
        </w:rPr>
        <w:t xml:space="preserve">            </w:t>
      </w:r>
      <w:r w:rsidRPr="005644BB">
        <w:rPr>
          <w:rFonts w:asciiTheme="majorBidi" w:hAnsiTheme="majorBidi" w:cstheme="majorBidi"/>
          <w:sz w:val="24"/>
          <w:szCs w:val="24"/>
        </w:rPr>
        <w:t xml:space="preserve"> </w:t>
      </w:r>
      <w:r w:rsidR="008C3239" w:rsidRPr="00B039E8">
        <w:rPr>
          <w:rFonts w:asciiTheme="majorBidi" w:hAnsiTheme="majorBidi" w:cstheme="majorBidi"/>
          <w:b/>
          <w:bCs/>
        </w:rPr>
        <w:t>Source : A.N.R.H.</w:t>
      </w:r>
    </w:p>
    <w:p w:rsidR="00B039E8" w:rsidRPr="005644BB" w:rsidRDefault="00B039E8" w:rsidP="008C3239">
      <w:pPr>
        <w:spacing w:line="360" w:lineRule="auto"/>
        <w:ind w:left="6372" w:firstLine="708"/>
        <w:rPr>
          <w:rFonts w:asciiTheme="majorBidi" w:hAnsiTheme="majorBidi" w:cstheme="majorBidi"/>
          <w:sz w:val="24"/>
          <w:szCs w:val="24"/>
        </w:rPr>
      </w:pPr>
    </w:p>
    <w:p w:rsidR="008C3239" w:rsidRPr="005644BB" w:rsidRDefault="008C3239" w:rsidP="008C3239">
      <w:pPr>
        <w:spacing w:line="360" w:lineRule="auto"/>
        <w:jc w:val="center"/>
        <w:rPr>
          <w:rFonts w:asciiTheme="majorBidi" w:hAnsiTheme="majorBidi" w:cstheme="majorBidi"/>
          <w:color w:val="FF0000"/>
          <w:sz w:val="24"/>
          <w:szCs w:val="24"/>
        </w:rPr>
      </w:pPr>
      <w:r w:rsidRPr="005644BB">
        <w:rPr>
          <w:rFonts w:asciiTheme="majorBidi" w:hAnsiTheme="majorBidi" w:cstheme="majorBidi"/>
          <w:noProof/>
          <w:color w:val="FF0000"/>
          <w:sz w:val="24"/>
          <w:szCs w:val="24"/>
        </w:rPr>
        <w:drawing>
          <wp:inline distT="0" distB="0" distL="0" distR="0">
            <wp:extent cx="5759450" cy="3164452"/>
            <wp:effectExtent l="19050" t="0" r="12700" b="0"/>
            <wp:docPr id="18"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C3239" w:rsidRPr="00B039E8" w:rsidRDefault="008A4F90" w:rsidP="00B039E8">
      <w:pPr>
        <w:autoSpaceDE w:val="0"/>
        <w:autoSpaceDN w:val="0"/>
        <w:adjustRightInd w:val="0"/>
        <w:spacing w:after="0" w:line="360" w:lineRule="auto"/>
        <w:jc w:val="center"/>
        <w:rPr>
          <w:rFonts w:ascii="Times New Roman" w:hAnsi="Times New Roman" w:cs="Times New Roman"/>
          <w:b/>
          <w:bCs/>
        </w:rPr>
      </w:pPr>
      <w:r>
        <w:rPr>
          <w:rFonts w:ascii="Times New Roman" w:hAnsi="Times New Roman" w:cs="Times New Roman"/>
          <w:b/>
          <w:bCs/>
        </w:rPr>
        <w:t>Figure (</w:t>
      </w:r>
      <w:r w:rsidRPr="008A4F90">
        <w:rPr>
          <w:rFonts w:asciiTheme="majorBidi" w:eastAsiaTheme="majorEastAsia" w:hAnsiTheme="majorBidi" w:cstheme="majorBidi"/>
          <w:b/>
          <w:bCs/>
        </w:rPr>
        <w:t>I</w:t>
      </w:r>
      <w:r>
        <w:rPr>
          <w:rFonts w:asciiTheme="majorBidi" w:hAnsiTheme="majorBidi" w:cstheme="majorBidi"/>
          <w:b/>
          <w:bCs/>
        </w:rPr>
        <w:t>.</w:t>
      </w:r>
      <w:r w:rsidR="00F942ED">
        <w:rPr>
          <w:rFonts w:ascii="Times New Roman" w:hAnsi="Times New Roman" w:cs="Times New Roman"/>
          <w:b/>
          <w:bCs/>
        </w:rPr>
        <w:t>IV.6</w:t>
      </w:r>
      <w:r w:rsidR="008C3239" w:rsidRPr="00B039E8">
        <w:rPr>
          <w:rFonts w:ascii="Times New Roman" w:hAnsi="Times New Roman" w:cs="Times New Roman"/>
          <w:b/>
          <w:bCs/>
        </w:rPr>
        <w:t>) La variation dans le temps des apports liquides annuels.</w:t>
      </w:r>
    </w:p>
    <w:p w:rsidR="00B039E8" w:rsidRDefault="00B039E8" w:rsidP="008C3239">
      <w:pPr>
        <w:autoSpaceDE w:val="0"/>
        <w:autoSpaceDN w:val="0"/>
        <w:adjustRightInd w:val="0"/>
        <w:spacing w:after="0" w:line="360" w:lineRule="auto"/>
        <w:jc w:val="both"/>
        <w:rPr>
          <w:rFonts w:asciiTheme="majorBidi" w:hAnsiTheme="majorBidi" w:cstheme="majorBidi"/>
          <w:sz w:val="24"/>
          <w:szCs w:val="24"/>
        </w:rPr>
      </w:pPr>
    </w:p>
    <w:p w:rsidR="008C3239" w:rsidRPr="005644BB" w:rsidRDefault="008C3239" w:rsidP="008C3239">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Cet apport se repartie durant l’année comme suit :</w:t>
      </w:r>
    </w:p>
    <w:p w:rsidR="008C3239" w:rsidRPr="005644BB" w:rsidRDefault="008C3239" w:rsidP="008C3239">
      <w:pPr>
        <w:tabs>
          <w:tab w:val="left" w:pos="142"/>
        </w:tabs>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ab/>
        <w:t xml:space="preserve">  </w:t>
      </w:r>
    </w:p>
    <w:tbl>
      <w:tblPr>
        <w:tblW w:w="9073" w:type="dxa"/>
        <w:jc w:val="center"/>
        <w:tblInd w:w="70" w:type="dxa"/>
        <w:tblCellMar>
          <w:left w:w="70" w:type="dxa"/>
          <w:right w:w="70" w:type="dxa"/>
        </w:tblCellMar>
        <w:tblLook w:val="04A0"/>
      </w:tblPr>
      <w:tblGrid>
        <w:gridCol w:w="905"/>
        <w:gridCol w:w="698"/>
        <w:gridCol w:w="571"/>
        <w:gridCol w:w="572"/>
        <w:gridCol w:w="636"/>
        <w:gridCol w:w="596"/>
        <w:gridCol w:w="571"/>
        <w:gridCol w:w="693"/>
        <w:gridCol w:w="693"/>
        <w:gridCol w:w="711"/>
        <w:gridCol w:w="578"/>
        <w:gridCol w:w="578"/>
        <w:gridCol w:w="578"/>
        <w:gridCol w:w="693"/>
      </w:tblGrid>
      <w:tr w:rsidR="008C3239" w:rsidRPr="005644BB" w:rsidTr="00B039E8">
        <w:trPr>
          <w:trHeight w:val="707"/>
          <w:jc w:val="center"/>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b/>
                <w:bCs/>
                <w:sz w:val="24"/>
                <w:szCs w:val="24"/>
              </w:rPr>
            </w:pPr>
            <w:r w:rsidRPr="005644BB">
              <w:rPr>
                <w:rFonts w:asciiTheme="majorBidi" w:eastAsia="Times New Roman" w:hAnsiTheme="majorBidi" w:cstheme="majorBidi"/>
                <w:b/>
                <w:bCs/>
                <w:sz w:val="24"/>
                <w:szCs w:val="24"/>
              </w:rPr>
              <w:t>Mois</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sep</w:t>
            </w:r>
          </w:p>
        </w:tc>
        <w:tc>
          <w:tcPr>
            <w:tcW w:w="571"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oct.</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nov.</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déc.</w:t>
            </w:r>
          </w:p>
        </w:tc>
        <w:tc>
          <w:tcPr>
            <w:tcW w:w="596"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jan</w:t>
            </w:r>
          </w:p>
        </w:tc>
        <w:tc>
          <w:tcPr>
            <w:tcW w:w="571"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fév.</w:t>
            </w:r>
          </w:p>
        </w:tc>
        <w:tc>
          <w:tcPr>
            <w:tcW w:w="693"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mar.</w:t>
            </w:r>
          </w:p>
        </w:tc>
        <w:tc>
          <w:tcPr>
            <w:tcW w:w="693"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avar</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mai</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juin</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B039E8"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juil.</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aout</w:t>
            </w:r>
          </w:p>
        </w:tc>
        <w:tc>
          <w:tcPr>
            <w:tcW w:w="693" w:type="dxa"/>
            <w:tcBorders>
              <w:top w:val="single" w:sz="4" w:space="0" w:color="auto"/>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total</w:t>
            </w:r>
          </w:p>
        </w:tc>
      </w:tr>
      <w:tr w:rsidR="008C3239" w:rsidRPr="005644BB" w:rsidTr="00B039E8">
        <w:trPr>
          <w:trHeight w:val="707"/>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b/>
                <w:bCs/>
                <w:sz w:val="24"/>
                <w:szCs w:val="24"/>
              </w:rPr>
            </w:pPr>
            <w:r w:rsidRPr="005644BB">
              <w:rPr>
                <w:rFonts w:asciiTheme="majorBidi" w:eastAsia="Times New Roman" w:hAnsiTheme="majorBidi" w:cstheme="majorBidi"/>
                <w:b/>
                <w:bCs/>
                <w:sz w:val="24"/>
                <w:szCs w:val="24"/>
              </w:rPr>
              <w:t>Al hm</w:t>
            </w:r>
            <w:r w:rsidRPr="005644BB">
              <w:rPr>
                <w:rFonts w:asciiTheme="majorBidi" w:eastAsia="Times New Roman" w:hAnsiTheme="majorBidi" w:cstheme="majorBidi"/>
                <w:b/>
                <w:bCs/>
                <w:sz w:val="24"/>
                <w:szCs w:val="24"/>
                <w:vertAlign w:val="superscript"/>
              </w:rPr>
              <w:t>3</w:t>
            </w:r>
          </w:p>
        </w:tc>
        <w:tc>
          <w:tcPr>
            <w:tcW w:w="69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2,56</w:t>
            </w:r>
          </w:p>
        </w:tc>
        <w:tc>
          <w:tcPr>
            <w:tcW w:w="57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1,09</w:t>
            </w:r>
          </w:p>
        </w:tc>
        <w:tc>
          <w:tcPr>
            <w:tcW w:w="572"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0,82</w:t>
            </w:r>
          </w:p>
        </w:tc>
        <w:tc>
          <w:tcPr>
            <w:tcW w:w="636"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0,75</w:t>
            </w:r>
          </w:p>
        </w:tc>
        <w:tc>
          <w:tcPr>
            <w:tcW w:w="596"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1,17</w:t>
            </w:r>
          </w:p>
        </w:tc>
        <w:tc>
          <w:tcPr>
            <w:tcW w:w="57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0,95</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1,31</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1,31</w:t>
            </w:r>
          </w:p>
        </w:tc>
        <w:tc>
          <w:tcPr>
            <w:tcW w:w="71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1,02</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0,73</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0,23</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0,42</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12.35</w:t>
            </w:r>
          </w:p>
        </w:tc>
      </w:tr>
      <w:tr w:rsidR="008C3239" w:rsidRPr="005644BB" w:rsidTr="00B039E8">
        <w:trPr>
          <w:trHeight w:val="707"/>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b/>
                <w:bCs/>
                <w:sz w:val="24"/>
                <w:szCs w:val="24"/>
              </w:rPr>
            </w:pPr>
            <w:r w:rsidRPr="005644BB">
              <w:rPr>
                <w:rFonts w:asciiTheme="majorBidi" w:eastAsia="Times New Roman" w:hAnsiTheme="majorBidi" w:cstheme="majorBidi"/>
                <w:b/>
                <w:bCs/>
                <w:sz w:val="24"/>
                <w:szCs w:val="24"/>
              </w:rPr>
              <w:t>Al (%)</w:t>
            </w:r>
          </w:p>
        </w:tc>
        <w:tc>
          <w:tcPr>
            <w:tcW w:w="69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20,75</w:t>
            </w:r>
          </w:p>
        </w:tc>
        <w:tc>
          <w:tcPr>
            <w:tcW w:w="57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8,83</w:t>
            </w:r>
          </w:p>
        </w:tc>
        <w:tc>
          <w:tcPr>
            <w:tcW w:w="572"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6,65</w:t>
            </w:r>
          </w:p>
        </w:tc>
        <w:tc>
          <w:tcPr>
            <w:tcW w:w="636"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6,05</w:t>
            </w:r>
          </w:p>
        </w:tc>
        <w:tc>
          <w:tcPr>
            <w:tcW w:w="596"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9,49</w:t>
            </w:r>
          </w:p>
        </w:tc>
        <w:tc>
          <w:tcPr>
            <w:tcW w:w="57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7,68</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10,59</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10,61</w:t>
            </w:r>
          </w:p>
        </w:tc>
        <w:tc>
          <w:tcPr>
            <w:tcW w:w="711"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8,26</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5,88</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1,86</w:t>
            </w:r>
          </w:p>
        </w:tc>
        <w:tc>
          <w:tcPr>
            <w:tcW w:w="578"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3,36</w:t>
            </w:r>
          </w:p>
        </w:tc>
        <w:tc>
          <w:tcPr>
            <w:tcW w:w="693" w:type="dxa"/>
            <w:tcBorders>
              <w:top w:val="nil"/>
              <w:left w:val="nil"/>
              <w:bottom w:val="single" w:sz="4" w:space="0" w:color="auto"/>
              <w:right w:val="single" w:sz="4" w:space="0" w:color="auto"/>
            </w:tcBorders>
            <w:shd w:val="clear" w:color="auto" w:fill="auto"/>
            <w:noWrap/>
            <w:vAlign w:val="center"/>
            <w:hideMark/>
          </w:tcPr>
          <w:p w:rsidR="008C3239" w:rsidRPr="005644BB" w:rsidRDefault="008C3239" w:rsidP="008C3239">
            <w:pPr>
              <w:spacing w:after="0" w:line="360" w:lineRule="auto"/>
              <w:jc w:val="both"/>
              <w:rPr>
                <w:rFonts w:asciiTheme="majorBidi" w:eastAsia="Times New Roman" w:hAnsiTheme="majorBidi" w:cstheme="majorBidi"/>
                <w:sz w:val="24"/>
                <w:szCs w:val="24"/>
              </w:rPr>
            </w:pPr>
            <w:r w:rsidRPr="005644BB">
              <w:rPr>
                <w:rFonts w:asciiTheme="majorBidi" w:eastAsia="Times New Roman" w:hAnsiTheme="majorBidi" w:cstheme="majorBidi"/>
                <w:sz w:val="24"/>
                <w:szCs w:val="24"/>
              </w:rPr>
              <w:t>100</w:t>
            </w:r>
          </w:p>
        </w:tc>
      </w:tr>
    </w:tbl>
    <w:p w:rsidR="00B039E8" w:rsidRDefault="00B039E8" w:rsidP="00B039E8">
      <w:pPr>
        <w:autoSpaceDE w:val="0"/>
        <w:autoSpaceDN w:val="0"/>
        <w:adjustRightInd w:val="0"/>
        <w:spacing w:after="0" w:line="360" w:lineRule="auto"/>
        <w:rPr>
          <w:rFonts w:asciiTheme="majorBidi" w:hAnsiTheme="majorBidi" w:cstheme="majorBidi"/>
          <w:b/>
          <w:bCs/>
          <w:sz w:val="24"/>
          <w:szCs w:val="24"/>
        </w:rPr>
      </w:pPr>
      <w:r>
        <w:rPr>
          <w:rFonts w:asciiTheme="majorBidi" w:hAnsiTheme="majorBidi" w:cstheme="majorBidi"/>
          <w:b/>
          <w:bCs/>
          <w:sz w:val="24"/>
          <w:szCs w:val="24"/>
        </w:rPr>
        <w:t xml:space="preserve">                       </w:t>
      </w:r>
    </w:p>
    <w:p w:rsidR="00B039E8" w:rsidRPr="005644BB" w:rsidRDefault="00B039E8" w:rsidP="00B039E8">
      <w:pPr>
        <w:autoSpaceDE w:val="0"/>
        <w:autoSpaceDN w:val="0"/>
        <w:adjustRightInd w:val="0"/>
        <w:spacing w:after="0" w:line="360" w:lineRule="auto"/>
        <w:rPr>
          <w:rFonts w:asciiTheme="majorBidi" w:hAnsiTheme="majorBidi" w:cstheme="majorBidi"/>
          <w:b/>
          <w:bCs/>
          <w:sz w:val="24"/>
          <w:szCs w:val="24"/>
        </w:rPr>
      </w:pPr>
      <w:r>
        <w:rPr>
          <w:rFonts w:asciiTheme="majorBidi" w:hAnsiTheme="majorBidi" w:cstheme="majorBidi"/>
          <w:b/>
          <w:bCs/>
          <w:sz w:val="24"/>
          <w:szCs w:val="24"/>
        </w:rPr>
        <w:t xml:space="preserve">                       </w:t>
      </w:r>
      <w:r w:rsidR="008A4F90">
        <w:rPr>
          <w:rFonts w:asciiTheme="majorBidi" w:hAnsiTheme="majorBidi" w:cstheme="majorBidi"/>
          <w:b/>
          <w:bCs/>
          <w:sz w:val="24"/>
          <w:szCs w:val="24"/>
        </w:rPr>
        <w:t>Tableau (</w:t>
      </w:r>
      <w:r w:rsidR="008A4F90" w:rsidRPr="008A4F90">
        <w:rPr>
          <w:rFonts w:asciiTheme="majorBidi" w:eastAsiaTheme="majorEastAsia" w:hAnsiTheme="majorBidi" w:cstheme="majorBidi"/>
          <w:b/>
          <w:bCs/>
        </w:rPr>
        <w:t>I</w:t>
      </w:r>
      <w:r w:rsidR="008A4F90">
        <w:rPr>
          <w:rFonts w:asciiTheme="majorBidi" w:hAnsiTheme="majorBidi" w:cstheme="majorBidi"/>
          <w:b/>
          <w:bCs/>
        </w:rPr>
        <w:t>.</w:t>
      </w:r>
      <w:r w:rsidR="00F942ED">
        <w:rPr>
          <w:rFonts w:asciiTheme="majorBidi" w:hAnsiTheme="majorBidi" w:cstheme="majorBidi"/>
          <w:b/>
          <w:bCs/>
          <w:sz w:val="24"/>
          <w:szCs w:val="24"/>
        </w:rPr>
        <w:t>IV.7</w:t>
      </w:r>
      <w:r w:rsidRPr="005644BB">
        <w:rPr>
          <w:rFonts w:asciiTheme="majorBidi" w:hAnsiTheme="majorBidi" w:cstheme="majorBidi"/>
          <w:b/>
          <w:bCs/>
          <w:sz w:val="24"/>
          <w:szCs w:val="24"/>
        </w:rPr>
        <w:t>) Répartition mensuel des apports liquides.</w:t>
      </w:r>
    </w:p>
    <w:p w:rsidR="008C3239" w:rsidRPr="005644BB"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Pr="005644BB" w:rsidRDefault="008C3239" w:rsidP="008C3239">
      <w:pPr>
        <w:tabs>
          <w:tab w:val="left" w:pos="142"/>
        </w:tabs>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 xml:space="preserve">   A partir de cette répartition mensuelle  on déduit que  la majorité des apports liquides appartiennent dans le mois  de septembre (20.75%), la valeur la plus faible a été enregistrée dans le mois de juillet, pour les autres mois l’apport liquide était moyen. </w:t>
      </w:r>
    </w:p>
    <w:p w:rsidR="008C3239" w:rsidRPr="005644BB" w:rsidRDefault="008C3239" w:rsidP="008C3239">
      <w:pPr>
        <w:autoSpaceDE w:val="0"/>
        <w:autoSpaceDN w:val="0"/>
        <w:adjustRightInd w:val="0"/>
        <w:spacing w:after="0" w:line="360" w:lineRule="auto"/>
        <w:jc w:val="both"/>
        <w:rPr>
          <w:rFonts w:asciiTheme="majorBidi" w:hAnsiTheme="majorBidi" w:cstheme="majorBidi"/>
          <w:b/>
          <w:bCs/>
          <w:sz w:val="24"/>
          <w:szCs w:val="24"/>
        </w:rPr>
      </w:pP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Pr>
          <w:rFonts w:asciiTheme="majorBidi" w:hAnsiTheme="majorBidi" w:cstheme="majorBidi"/>
          <w:b/>
          <w:bCs/>
          <w:sz w:val="24"/>
          <w:szCs w:val="24"/>
        </w:rPr>
        <w:t>IV.3.4</w:t>
      </w:r>
      <w:r w:rsidR="008C3239" w:rsidRPr="005644BB">
        <w:rPr>
          <w:rFonts w:asciiTheme="majorBidi" w:hAnsiTheme="majorBidi" w:cstheme="majorBidi"/>
          <w:b/>
          <w:bCs/>
          <w:sz w:val="24"/>
          <w:szCs w:val="24"/>
        </w:rPr>
        <w:t xml:space="preserve"> Estimation de l’apport liquide et la lame d’eau écoulée :</w:t>
      </w:r>
    </w:p>
    <w:p w:rsidR="008C3239" w:rsidRPr="005644BB" w:rsidRDefault="008C3239" w:rsidP="008C3239">
      <w:pPr>
        <w:autoSpaceDE w:val="0"/>
        <w:autoSpaceDN w:val="0"/>
        <w:adjustRightInd w:val="0"/>
        <w:spacing w:after="0" w:line="360" w:lineRule="auto"/>
        <w:jc w:val="both"/>
        <w:rPr>
          <w:rFonts w:asciiTheme="majorBidi" w:hAnsiTheme="majorBidi" w:cstheme="majorBidi"/>
          <w:b/>
          <w:bCs/>
          <w:sz w:val="24"/>
          <w:szCs w:val="24"/>
        </w:rPr>
      </w:pPr>
    </w:p>
    <w:tbl>
      <w:tblPr>
        <w:tblStyle w:val="Grilledutableau"/>
        <w:tblW w:w="0" w:type="auto"/>
        <w:tblLook w:val="04A0"/>
      </w:tblPr>
      <w:tblGrid>
        <w:gridCol w:w="3118"/>
        <w:gridCol w:w="3118"/>
        <w:gridCol w:w="3118"/>
      </w:tblGrid>
      <w:tr w:rsidR="008C3239" w:rsidRPr="005644BB" w:rsidTr="008C3239">
        <w:trPr>
          <w:trHeight w:val="547"/>
        </w:trPr>
        <w:tc>
          <w:tcPr>
            <w:tcW w:w="3118" w:type="dxa"/>
            <w:tcBorders>
              <w:top w:val="single" w:sz="4" w:space="0" w:color="000000" w:themeColor="text1"/>
              <w:left w:val="single" w:sz="4" w:space="0" w:color="000000" w:themeColor="text1"/>
            </w:tcBorders>
          </w:tcPr>
          <w:p w:rsidR="008C3239" w:rsidRPr="005644BB" w:rsidRDefault="008C3239" w:rsidP="008C3239">
            <w:pPr>
              <w:jc w:val="center"/>
              <w:rPr>
                <w:sz w:val="24"/>
                <w:szCs w:val="24"/>
              </w:rPr>
            </w:pPr>
            <w:r w:rsidRPr="005644BB">
              <w:rPr>
                <w:sz w:val="24"/>
                <w:szCs w:val="24"/>
              </w:rPr>
              <w:t>La formule</w:t>
            </w:r>
          </w:p>
        </w:tc>
        <w:tc>
          <w:tcPr>
            <w:tcW w:w="3118" w:type="dxa"/>
          </w:tcPr>
          <w:p w:rsidR="008C3239" w:rsidRPr="005644BB" w:rsidRDefault="008C3239" w:rsidP="008C3239">
            <w:pPr>
              <w:jc w:val="center"/>
              <w:rPr>
                <w:sz w:val="24"/>
                <w:szCs w:val="24"/>
                <w:vertAlign w:val="subscript"/>
              </w:rPr>
            </w:pPr>
            <w:r w:rsidRPr="005644BB">
              <w:rPr>
                <w:b/>
                <w:bCs/>
                <w:sz w:val="24"/>
                <w:szCs w:val="24"/>
              </w:rPr>
              <w:t>L</w:t>
            </w:r>
            <w:r w:rsidRPr="005644BB">
              <w:rPr>
                <w:b/>
                <w:bCs/>
                <w:sz w:val="24"/>
                <w:szCs w:val="24"/>
                <w:vertAlign w:val="subscript"/>
              </w:rPr>
              <w:t>e(</w:t>
            </w:r>
            <w:r w:rsidRPr="005644BB">
              <w:rPr>
                <w:sz w:val="24"/>
                <w:szCs w:val="24"/>
                <w:vertAlign w:val="subscript"/>
              </w:rPr>
              <w:t>mm)</w:t>
            </w:r>
          </w:p>
        </w:tc>
        <w:tc>
          <w:tcPr>
            <w:tcW w:w="3118" w:type="dxa"/>
          </w:tcPr>
          <w:p w:rsidR="008C3239" w:rsidRPr="005644BB" w:rsidRDefault="008C3239" w:rsidP="008C3239">
            <w:pPr>
              <w:jc w:val="center"/>
              <w:rPr>
                <w:sz w:val="24"/>
                <w:szCs w:val="24"/>
              </w:rPr>
            </w:pPr>
            <w:r w:rsidRPr="005644BB">
              <w:rPr>
                <w:b/>
                <w:bCs/>
                <w:sz w:val="24"/>
                <w:szCs w:val="24"/>
              </w:rPr>
              <w:t>A</w:t>
            </w:r>
            <w:r w:rsidRPr="005644BB">
              <w:rPr>
                <w:sz w:val="24"/>
                <w:szCs w:val="24"/>
              </w:rPr>
              <w:t>(</w:t>
            </w:r>
            <w:r w:rsidRPr="005644BB">
              <w:rPr>
                <w:rFonts w:asciiTheme="majorBidi" w:eastAsia="Times New Roman" w:hAnsiTheme="majorBidi" w:cstheme="majorBidi"/>
                <w:color w:val="000000"/>
                <w:sz w:val="24"/>
                <w:szCs w:val="24"/>
                <w:lang w:eastAsia="fr-FR"/>
              </w:rPr>
              <w:t>hm</w:t>
            </w:r>
            <w:r w:rsidRPr="005644BB">
              <w:rPr>
                <w:rFonts w:asciiTheme="majorBidi" w:eastAsia="Times New Roman" w:hAnsiTheme="majorBidi" w:cstheme="majorBidi"/>
                <w:color w:val="000000"/>
                <w:sz w:val="24"/>
                <w:szCs w:val="24"/>
                <w:vertAlign w:val="superscript"/>
                <w:lang w:eastAsia="fr-FR"/>
              </w:rPr>
              <w:t xml:space="preserve"> 3 </w:t>
            </w:r>
            <w:r w:rsidRPr="005644BB">
              <w:rPr>
                <w:sz w:val="24"/>
                <w:szCs w:val="24"/>
              </w:rPr>
              <w:t>)</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de samie </w:t>
            </w:r>
          </w:p>
        </w:tc>
        <w:tc>
          <w:tcPr>
            <w:tcW w:w="3118" w:type="dxa"/>
          </w:tcPr>
          <w:p w:rsidR="008C3239" w:rsidRPr="005644BB" w:rsidRDefault="008C3239" w:rsidP="008C3239">
            <w:pPr>
              <w:jc w:val="center"/>
              <w:rPr>
                <w:sz w:val="24"/>
                <w:szCs w:val="24"/>
              </w:rPr>
            </w:pPr>
            <w:r w:rsidRPr="005644BB">
              <w:rPr>
                <w:sz w:val="24"/>
                <w:szCs w:val="24"/>
              </w:rPr>
              <w:t>17.11</w:t>
            </w:r>
          </w:p>
        </w:tc>
        <w:tc>
          <w:tcPr>
            <w:tcW w:w="3118" w:type="dxa"/>
          </w:tcPr>
          <w:p w:rsidR="008C3239" w:rsidRPr="005644BB" w:rsidRDefault="008C3239" w:rsidP="008C3239">
            <w:pPr>
              <w:jc w:val="center"/>
              <w:rPr>
                <w:sz w:val="24"/>
                <w:szCs w:val="24"/>
              </w:rPr>
            </w:pPr>
            <w:r w:rsidRPr="005644BB">
              <w:rPr>
                <w:sz w:val="24"/>
                <w:szCs w:val="24"/>
              </w:rPr>
              <w:t>22.24</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d’ANRH </w:t>
            </w:r>
          </w:p>
        </w:tc>
        <w:tc>
          <w:tcPr>
            <w:tcW w:w="3118" w:type="dxa"/>
          </w:tcPr>
          <w:p w:rsidR="008C3239" w:rsidRPr="005644BB" w:rsidRDefault="008C3239" w:rsidP="008C3239">
            <w:pPr>
              <w:jc w:val="center"/>
              <w:rPr>
                <w:sz w:val="24"/>
                <w:szCs w:val="24"/>
              </w:rPr>
            </w:pPr>
            <w:r w:rsidRPr="005644BB">
              <w:rPr>
                <w:sz w:val="24"/>
                <w:szCs w:val="24"/>
              </w:rPr>
              <w:t>10.89</w:t>
            </w:r>
          </w:p>
        </w:tc>
        <w:tc>
          <w:tcPr>
            <w:tcW w:w="3118" w:type="dxa"/>
          </w:tcPr>
          <w:p w:rsidR="008C3239" w:rsidRPr="005644BB" w:rsidRDefault="008C3239" w:rsidP="008C3239">
            <w:pPr>
              <w:jc w:val="center"/>
              <w:rPr>
                <w:sz w:val="24"/>
                <w:szCs w:val="24"/>
              </w:rPr>
            </w:pPr>
            <w:r w:rsidRPr="005644BB">
              <w:rPr>
                <w:sz w:val="24"/>
                <w:szCs w:val="24"/>
              </w:rPr>
              <w:t>14.16</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La formule d’Adjel-Smail </w:t>
            </w:r>
          </w:p>
        </w:tc>
        <w:tc>
          <w:tcPr>
            <w:tcW w:w="3118" w:type="dxa"/>
          </w:tcPr>
          <w:p w:rsidR="008C3239" w:rsidRPr="005644BB" w:rsidRDefault="008C3239" w:rsidP="008C3239">
            <w:pPr>
              <w:jc w:val="center"/>
              <w:rPr>
                <w:sz w:val="24"/>
                <w:szCs w:val="24"/>
              </w:rPr>
            </w:pPr>
            <w:r w:rsidRPr="005644BB">
              <w:rPr>
                <w:sz w:val="24"/>
                <w:szCs w:val="24"/>
              </w:rPr>
              <w:t>28.07</w:t>
            </w:r>
          </w:p>
        </w:tc>
        <w:tc>
          <w:tcPr>
            <w:tcW w:w="3118" w:type="dxa"/>
          </w:tcPr>
          <w:p w:rsidR="008C3239" w:rsidRPr="005644BB" w:rsidRDefault="008C3239" w:rsidP="008C3239">
            <w:pPr>
              <w:jc w:val="center"/>
              <w:rPr>
                <w:sz w:val="24"/>
                <w:szCs w:val="24"/>
              </w:rPr>
            </w:pPr>
            <w:r w:rsidRPr="005644BB">
              <w:rPr>
                <w:sz w:val="24"/>
                <w:szCs w:val="24"/>
              </w:rPr>
              <w:t>36.50</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de Goutagne </w:t>
            </w:r>
          </w:p>
        </w:tc>
        <w:tc>
          <w:tcPr>
            <w:tcW w:w="3118" w:type="dxa"/>
          </w:tcPr>
          <w:p w:rsidR="008C3239" w:rsidRPr="005644BB" w:rsidRDefault="008C3239" w:rsidP="008C3239">
            <w:pPr>
              <w:jc w:val="center"/>
              <w:rPr>
                <w:sz w:val="24"/>
                <w:szCs w:val="24"/>
              </w:rPr>
            </w:pPr>
            <w:r w:rsidRPr="005644BB">
              <w:rPr>
                <w:sz w:val="24"/>
                <w:szCs w:val="24"/>
              </w:rPr>
              <w:t>31.62</w:t>
            </w:r>
          </w:p>
        </w:tc>
        <w:tc>
          <w:tcPr>
            <w:tcW w:w="3118" w:type="dxa"/>
          </w:tcPr>
          <w:p w:rsidR="008C3239" w:rsidRPr="005644BB" w:rsidRDefault="008C3239" w:rsidP="008C3239">
            <w:pPr>
              <w:jc w:val="center"/>
              <w:rPr>
                <w:sz w:val="24"/>
                <w:szCs w:val="24"/>
              </w:rPr>
            </w:pPr>
            <w:r w:rsidRPr="005644BB">
              <w:rPr>
                <w:sz w:val="24"/>
                <w:szCs w:val="24"/>
              </w:rPr>
              <w:t>41.10</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de SOGREAH </w:t>
            </w:r>
          </w:p>
        </w:tc>
        <w:tc>
          <w:tcPr>
            <w:tcW w:w="3118" w:type="dxa"/>
          </w:tcPr>
          <w:p w:rsidR="008C3239" w:rsidRPr="005644BB" w:rsidRDefault="008C3239" w:rsidP="008C3239">
            <w:pPr>
              <w:jc w:val="center"/>
              <w:rPr>
                <w:sz w:val="24"/>
                <w:szCs w:val="24"/>
              </w:rPr>
            </w:pPr>
            <w:r w:rsidRPr="005644BB">
              <w:rPr>
                <w:sz w:val="24"/>
                <w:szCs w:val="24"/>
              </w:rPr>
              <w:t>17.24</w:t>
            </w:r>
          </w:p>
        </w:tc>
        <w:tc>
          <w:tcPr>
            <w:tcW w:w="3118" w:type="dxa"/>
          </w:tcPr>
          <w:p w:rsidR="008C3239" w:rsidRPr="005644BB" w:rsidRDefault="008C3239" w:rsidP="008C3239">
            <w:pPr>
              <w:jc w:val="center"/>
              <w:rPr>
                <w:sz w:val="24"/>
                <w:szCs w:val="24"/>
              </w:rPr>
            </w:pPr>
            <w:r w:rsidRPr="005644BB">
              <w:rPr>
                <w:sz w:val="24"/>
                <w:szCs w:val="24"/>
              </w:rPr>
              <w:t>22.4</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de MALLET-GAUTIER </w:t>
            </w:r>
          </w:p>
        </w:tc>
        <w:tc>
          <w:tcPr>
            <w:tcW w:w="3118" w:type="dxa"/>
          </w:tcPr>
          <w:p w:rsidR="008C3239" w:rsidRPr="005644BB" w:rsidRDefault="008C3239" w:rsidP="008C3239">
            <w:pPr>
              <w:jc w:val="center"/>
              <w:rPr>
                <w:sz w:val="24"/>
                <w:szCs w:val="24"/>
              </w:rPr>
            </w:pPr>
            <w:r w:rsidRPr="005644BB">
              <w:rPr>
                <w:sz w:val="24"/>
                <w:szCs w:val="24"/>
              </w:rPr>
              <w:t>10.90</w:t>
            </w:r>
          </w:p>
        </w:tc>
        <w:tc>
          <w:tcPr>
            <w:tcW w:w="3118" w:type="dxa"/>
          </w:tcPr>
          <w:p w:rsidR="008C3239" w:rsidRPr="005644BB" w:rsidRDefault="008C3239" w:rsidP="008C3239">
            <w:pPr>
              <w:jc w:val="center"/>
              <w:rPr>
                <w:sz w:val="24"/>
                <w:szCs w:val="24"/>
              </w:rPr>
            </w:pPr>
            <w:r w:rsidRPr="005644BB">
              <w:rPr>
                <w:sz w:val="24"/>
                <w:szCs w:val="24"/>
              </w:rPr>
              <w:t>14.18</w:t>
            </w:r>
          </w:p>
        </w:tc>
      </w:tr>
      <w:tr w:rsidR="008C3239" w:rsidRPr="005644BB" w:rsidTr="008C3239">
        <w:trPr>
          <w:trHeight w:val="547"/>
        </w:trPr>
        <w:tc>
          <w:tcPr>
            <w:tcW w:w="3118" w:type="dxa"/>
          </w:tcPr>
          <w:p w:rsidR="008C3239" w:rsidRPr="005644BB" w:rsidRDefault="008C3239" w:rsidP="008C3239">
            <w:pPr>
              <w:rPr>
                <w:sz w:val="24"/>
                <w:szCs w:val="24"/>
              </w:rPr>
            </w:pPr>
            <w:r w:rsidRPr="005644BB">
              <w:rPr>
                <w:rFonts w:asciiTheme="majorBidi" w:hAnsiTheme="majorBidi" w:cstheme="majorBidi"/>
                <w:b/>
                <w:bCs/>
                <w:sz w:val="24"/>
                <w:szCs w:val="24"/>
              </w:rPr>
              <w:t>Formule de l’DERY I </w:t>
            </w:r>
          </w:p>
        </w:tc>
        <w:tc>
          <w:tcPr>
            <w:tcW w:w="3118" w:type="dxa"/>
          </w:tcPr>
          <w:p w:rsidR="008C3239" w:rsidRPr="005644BB" w:rsidRDefault="008C3239" w:rsidP="008C3239">
            <w:pPr>
              <w:jc w:val="center"/>
              <w:rPr>
                <w:sz w:val="24"/>
                <w:szCs w:val="24"/>
              </w:rPr>
            </w:pPr>
            <w:r w:rsidRPr="005644BB">
              <w:rPr>
                <w:sz w:val="24"/>
                <w:szCs w:val="24"/>
              </w:rPr>
              <w:t>9.95</w:t>
            </w:r>
          </w:p>
        </w:tc>
        <w:tc>
          <w:tcPr>
            <w:tcW w:w="3118" w:type="dxa"/>
          </w:tcPr>
          <w:p w:rsidR="008C3239" w:rsidRPr="005644BB" w:rsidRDefault="008C3239" w:rsidP="008C3239">
            <w:pPr>
              <w:jc w:val="center"/>
              <w:rPr>
                <w:sz w:val="24"/>
                <w:szCs w:val="24"/>
              </w:rPr>
            </w:pPr>
            <w:r w:rsidRPr="005644BB">
              <w:rPr>
                <w:sz w:val="24"/>
                <w:szCs w:val="24"/>
              </w:rPr>
              <w:t>12.94</w:t>
            </w:r>
          </w:p>
        </w:tc>
      </w:tr>
    </w:tbl>
    <w:p w:rsidR="00CA1B80" w:rsidRDefault="00CA1B80" w:rsidP="00CA1B80">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Tableau (</w:t>
      </w:r>
      <w:r w:rsidRPr="008A4F90">
        <w:rPr>
          <w:rFonts w:asciiTheme="majorBidi" w:eastAsiaTheme="majorEastAsia" w:hAnsiTheme="majorBidi" w:cstheme="majorBidi"/>
          <w:b/>
          <w:bCs/>
        </w:rPr>
        <w:t>I</w:t>
      </w:r>
      <w:r>
        <w:rPr>
          <w:rFonts w:asciiTheme="majorBidi" w:hAnsiTheme="majorBidi" w:cstheme="majorBidi"/>
          <w:b/>
          <w:bCs/>
        </w:rPr>
        <w:t>.</w:t>
      </w:r>
      <w:r w:rsidR="00F942ED">
        <w:rPr>
          <w:rFonts w:asciiTheme="majorBidi" w:hAnsiTheme="majorBidi" w:cstheme="majorBidi"/>
          <w:b/>
          <w:bCs/>
          <w:sz w:val="24"/>
          <w:szCs w:val="24"/>
        </w:rPr>
        <w:t>IV.8</w:t>
      </w:r>
      <w:r w:rsidRPr="005644BB">
        <w:rPr>
          <w:rFonts w:asciiTheme="majorBidi" w:hAnsiTheme="majorBidi" w:cstheme="majorBidi"/>
          <w:b/>
          <w:bCs/>
          <w:sz w:val="24"/>
          <w:szCs w:val="24"/>
        </w:rPr>
        <w:t>)</w:t>
      </w:r>
      <w:r w:rsidRPr="00CA1B80">
        <w:rPr>
          <w:rFonts w:asciiTheme="majorBidi" w:hAnsiTheme="majorBidi" w:cstheme="majorBidi"/>
          <w:b/>
          <w:bCs/>
          <w:sz w:val="24"/>
          <w:szCs w:val="24"/>
        </w:rPr>
        <w:t xml:space="preserve"> </w:t>
      </w:r>
      <w:r w:rsidRPr="00CA1B80">
        <w:rPr>
          <w:rFonts w:asciiTheme="majorBidi" w:hAnsiTheme="majorBidi" w:cstheme="majorBidi"/>
          <w:b/>
          <w:bCs/>
        </w:rPr>
        <w:t>Estimation de l’apport liquide et la lame d’eau écoulée</w:t>
      </w:r>
    </w:p>
    <w:p w:rsidR="008C3239" w:rsidRPr="008A4F90" w:rsidRDefault="00CA1B80" w:rsidP="00CA1B80">
      <w:pPr>
        <w:autoSpaceDE w:val="0"/>
        <w:autoSpaceDN w:val="0"/>
        <w:adjustRightInd w:val="0"/>
        <w:spacing w:after="0" w:line="360" w:lineRule="auto"/>
        <w:rPr>
          <w:rFonts w:asciiTheme="majorBidi" w:hAnsiTheme="majorBidi" w:cstheme="majorBidi"/>
          <w:sz w:val="24"/>
          <w:szCs w:val="24"/>
        </w:rPr>
      </w:pPr>
      <w:r w:rsidRPr="005644BB">
        <w:rPr>
          <w:rFonts w:asciiTheme="majorBidi" w:hAnsiTheme="majorBidi" w:cstheme="majorBidi"/>
          <w:b/>
          <w:bCs/>
          <w:sz w:val="24"/>
          <w:szCs w:val="24"/>
        </w:rPr>
        <w:t xml:space="preserve"> </w:t>
      </w:r>
      <w:r w:rsidR="008A4F90">
        <w:rPr>
          <w:rFonts w:asciiTheme="majorBidi" w:hAnsiTheme="majorBidi" w:cstheme="majorBidi"/>
          <w:b/>
          <w:bCs/>
          <w:sz w:val="24"/>
          <w:szCs w:val="24"/>
        </w:rPr>
        <w:t>L</w:t>
      </w:r>
      <w:r w:rsidR="008A4F90">
        <w:rPr>
          <w:rFonts w:asciiTheme="majorBidi" w:hAnsiTheme="majorBidi" w:cstheme="majorBidi"/>
          <w:b/>
          <w:bCs/>
          <w:sz w:val="24"/>
          <w:szCs w:val="24"/>
          <w:vertAlign w:val="subscript"/>
        </w:rPr>
        <w:t>e :</w:t>
      </w:r>
      <w:r w:rsidR="008A4F90">
        <w:rPr>
          <w:rFonts w:asciiTheme="majorBidi" w:hAnsiTheme="majorBidi" w:cstheme="majorBidi"/>
          <w:b/>
          <w:bCs/>
          <w:sz w:val="24"/>
          <w:szCs w:val="24"/>
        </w:rPr>
        <w:t xml:space="preserve"> </w:t>
      </w:r>
      <w:r w:rsidR="008A4F90">
        <w:rPr>
          <w:rFonts w:asciiTheme="majorBidi" w:hAnsiTheme="majorBidi" w:cstheme="majorBidi"/>
          <w:sz w:val="24"/>
          <w:szCs w:val="24"/>
        </w:rPr>
        <w:t xml:space="preserve">la </w:t>
      </w:r>
      <w:r>
        <w:rPr>
          <w:rFonts w:asciiTheme="majorBidi" w:hAnsiTheme="majorBidi" w:cstheme="majorBidi"/>
          <w:sz w:val="24"/>
          <w:szCs w:val="24"/>
        </w:rPr>
        <w:t>lame (</w:t>
      </w:r>
      <w:r w:rsidR="008A4F90">
        <w:rPr>
          <w:rFonts w:asciiTheme="majorBidi" w:hAnsiTheme="majorBidi" w:cstheme="majorBidi"/>
          <w:sz w:val="24"/>
          <w:szCs w:val="24"/>
        </w:rPr>
        <w:t>mm)</w:t>
      </w:r>
    </w:p>
    <w:p w:rsidR="00B039E8" w:rsidRDefault="00CA1B80" w:rsidP="008C3239">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A :</w:t>
      </w:r>
      <w:r w:rsidRPr="00CA1B80">
        <w:rPr>
          <w:rFonts w:asciiTheme="majorBidi" w:hAnsiTheme="majorBidi" w:cstheme="majorBidi"/>
          <w:sz w:val="24"/>
          <w:szCs w:val="24"/>
        </w:rPr>
        <w:t xml:space="preserve"> surface</w:t>
      </w:r>
    </w:p>
    <w:p w:rsidR="00B039E8" w:rsidRDefault="00B039E8" w:rsidP="008C3239">
      <w:pPr>
        <w:autoSpaceDE w:val="0"/>
        <w:autoSpaceDN w:val="0"/>
        <w:adjustRightInd w:val="0"/>
        <w:spacing w:after="0" w:line="360" w:lineRule="auto"/>
        <w:jc w:val="both"/>
        <w:rPr>
          <w:rFonts w:asciiTheme="majorBidi" w:hAnsiTheme="majorBidi" w:cstheme="majorBidi"/>
          <w:b/>
          <w:bCs/>
          <w:sz w:val="24"/>
          <w:szCs w:val="24"/>
        </w:rPr>
      </w:pPr>
    </w:p>
    <w:p w:rsidR="00B039E8" w:rsidRDefault="00B039E8" w:rsidP="008C3239">
      <w:pPr>
        <w:autoSpaceDE w:val="0"/>
        <w:autoSpaceDN w:val="0"/>
        <w:adjustRightInd w:val="0"/>
        <w:spacing w:after="0" w:line="360" w:lineRule="auto"/>
        <w:jc w:val="both"/>
        <w:rPr>
          <w:rFonts w:asciiTheme="majorBidi" w:hAnsiTheme="majorBidi" w:cstheme="majorBidi"/>
          <w:b/>
          <w:bCs/>
          <w:sz w:val="24"/>
          <w:szCs w:val="24"/>
        </w:rPr>
      </w:pPr>
    </w:p>
    <w:p w:rsidR="00B039E8" w:rsidRDefault="00B039E8" w:rsidP="008C3239">
      <w:pPr>
        <w:autoSpaceDE w:val="0"/>
        <w:autoSpaceDN w:val="0"/>
        <w:adjustRightInd w:val="0"/>
        <w:spacing w:after="0" w:line="360" w:lineRule="auto"/>
        <w:jc w:val="both"/>
        <w:rPr>
          <w:rFonts w:asciiTheme="majorBidi" w:hAnsiTheme="majorBidi" w:cstheme="majorBidi"/>
          <w:b/>
          <w:bCs/>
          <w:sz w:val="24"/>
          <w:szCs w:val="24"/>
        </w:rPr>
      </w:pPr>
    </w:p>
    <w:p w:rsidR="008C3239" w:rsidRPr="005644BB" w:rsidRDefault="001F62E5" w:rsidP="008C3239">
      <w:pPr>
        <w:autoSpaceDE w:val="0"/>
        <w:autoSpaceDN w:val="0"/>
        <w:adjustRightInd w:val="0"/>
        <w:spacing w:after="0" w:line="360" w:lineRule="auto"/>
        <w:jc w:val="both"/>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8C3239" w:rsidRPr="005644BB">
        <w:rPr>
          <w:rFonts w:asciiTheme="majorBidi" w:hAnsiTheme="majorBidi" w:cstheme="majorBidi"/>
          <w:b/>
          <w:bCs/>
          <w:sz w:val="24"/>
          <w:szCs w:val="24"/>
        </w:rPr>
        <w:t>IV.4 Conclusion :</w:t>
      </w:r>
    </w:p>
    <w:p w:rsidR="008C3239" w:rsidRDefault="008C3239" w:rsidP="00B039E8">
      <w:pPr>
        <w:autoSpaceDE w:val="0"/>
        <w:autoSpaceDN w:val="0"/>
        <w:adjustRightInd w:val="0"/>
        <w:spacing w:after="0" w:line="360" w:lineRule="auto"/>
        <w:jc w:val="both"/>
        <w:rPr>
          <w:rFonts w:asciiTheme="majorBidi" w:hAnsiTheme="majorBidi" w:cstheme="majorBidi"/>
          <w:sz w:val="24"/>
          <w:szCs w:val="24"/>
        </w:rPr>
      </w:pPr>
      <w:r w:rsidRPr="005644BB">
        <w:rPr>
          <w:rFonts w:asciiTheme="majorBidi" w:hAnsiTheme="majorBidi" w:cstheme="majorBidi"/>
          <w:sz w:val="24"/>
          <w:szCs w:val="24"/>
        </w:rPr>
        <w:t>Le bassin versant oued El Abiod est caractérisé par un climat semi-aride à aride vers l’exutoire dont les caractéristiques se manifestent par un hiver froid à frais et un été très chaud et sec. L’irrégularité et la diminution des précipitations s’affirment en allant de plus en plus vers le Sud. L’apport liquide est irrégulier dont il se varie d’un mois à l’autre tel que le mois de septembre qui caractérise par son apport le plus fort dont il provient des crues brusques ce qui va provoquer un transport solide important.</w:t>
      </w: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Default="00B039E8" w:rsidP="00B039E8">
      <w:pPr>
        <w:autoSpaceDE w:val="0"/>
        <w:autoSpaceDN w:val="0"/>
        <w:adjustRightInd w:val="0"/>
        <w:spacing w:after="0" w:line="360" w:lineRule="auto"/>
        <w:jc w:val="both"/>
        <w:rPr>
          <w:rFonts w:asciiTheme="majorBidi" w:hAnsiTheme="majorBidi" w:cstheme="majorBidi"/>
          <w:sz w:val="24"/>
          <w:szCs w:val="24"/>
        </w:rPr>
      </w:pPr>
    </w:p>
    <w:p w:rsidR="00B039E8" w:rsidRPr="001F62E5" w:rsidRDefault="00B039E8" w:rsidP="001F62E5">
      <w:pPr>
        <w:rPr>
          <w:rFonts w:asciiTheme="majorBidi" w:hAnsiTheme="majorBidi" w:cstheme="majorBidi"/>
          <w:b/>
          <w:bCs/>
          <w:sz w:val="24"/>
          <w:szCs w:val="24"/>
        </w:rPr>
      </w:pPr>
      <w:r w:rsidRPr="001F62E5">
        <w:rPr>
          <w:rFonts w:asciiTheme="majorBidi" w:hAnsiTheme="majorBidi" w:cstheme="majorBidi"/>
          <w:b/>
          <w:bCs/>
          <w:sz w:val="32"/>
          <w:szCs w:val="32"/>
        </w:rPr>
        <w:t>PARTIE V</w:t>
      </w:r>
      <w:r w:rsidR="001F62E5">
        <w:rPr>
          <w:rFonts w:asciiTheme="majorBidi" w:hAnsiTheme="majorBidi" w:cstheme="majorBidi"/>
          <w:b/>
          <w:bCs/>
          <w:sz w:val="24"/>
          <w:szCs w:val="24"/>
        </w:rPr>
        <w:t> :</w:t>
      </w:r>
      <w:r w:rsidR="001F62E5" w:rsidRPr="00B039E8">
        <w:rPr>
          <w:rFonts w:asciiTheme="majorBidi" w:hAnsiTheme="majorBidi" w:cstheme="majorBidi"/>
          <w:b/>
          <w:bCs/>
          <w:sz w:val="24"/>
          <w:szCs w:val="24"/>
        </w:rPr>
        <w:t xml:space="preserve"> Estimation</w:t>
      </w:r>
      <w:r w:rsidRPr="00B039E8">
        <w:rPr>
          <w:rFonts w:asciiTheme="majorBidi" w:hAnsiTheme="majorBidi" w:cstheme="majorBidi"/>
          <w:b/>
          <w:bCs/>
          <w:sz w:val="24"/>
          <w:szCs w:val="24"/>
        </w:rPr>
        <w:t xml:space="preserve">  du transport solide dans le B.V.</w:t>
      </w:r>
    </w:p>
    <w:p w:rsidR="00B039E8" w:rsidRPr="00B039E8" w:rsidRDefault="00B039E8" w:rsidP="00B039E8">
      <w:pPr>
        <w:pStyle w:val="Default"/>
        <w:tabs>
          <w:tab w:val="left" w:pos="2160"/>
        </w:tabs>
        <w:spacing w:line="360" w:lineRule="auto"/>
        <w:jc w:val="both"/>
        <w:rPr>
          <w:rFonts w:asciiTheme="majorBidi" w:hAnsiTheme="majorBidi" w:cstheme="majorBidi"/>
          <w:b/>
          <w:bCs/>
        </w:rPr>
      </w:pPr>
    </w:p>
    <w:p w:rsidR="00B039E8" w:rsidRPr="00B039E8" w:rsidRDefault="001F62E5" w:rsidP="00B039E8">
      <w:pPr>
        <w:pStyle w:val="Default"/>
        <w:spacing w:line="360" w:lineRule="auto"/>
        <w:jc w:val="both"/>
        <w:rPr>
          <w:rFonts w:asciiTheme="majorBidi" w:hAnsiTheme="majorBidi" w:cstheme="majorBidi"/>
          <w:b/>
          <w:bCs/>
        </w:rPr>
      </w:pPr>
      <w:r w:rsidRPr="00AC533E">
        <w:rPr>
          <w:rFonts w:asciiTheme="majorBidi" w:eastAsiaTheme="majorEastAsia" w:hAnsiTheme="majorBidi" w:cstheme="majorBidi"/>
          <w:b/>
          <w:bCs/>
        </w:rPr>
        <w:t>I</w:t>
      </w:r>
      <w:r>
        <w:rPr>
          <w:rFonts w:asciiTheme="majorBidi" w:eastAsiaTheme="majorEastAsia" w:hAnsiTheme="majorBidi" w:cstheme="majorBidi"/>
          <w:b/>
          <w:bCs/>
        </w:rPr>
        <w:t>.</w:t>
      </w:r>
      <w:r w:rsidR="00B039E8" w:rsidRPr="00B039E8">
        <w:rPr>
          <w:rFonts w:asciiTheme="majorBidi" w:hAnsiTheme="majorBidi" w:cstheme="majorBidi"/>
          <w:b/>
          <w:bCs/>
        </w:rPr>
        <w:t>V.1- Introduction :</w:t>
      </w:r>
    </w:p>
    <w:p w:rsidR="00B039E8" w:rsidRPr="00B039E8" w:rsidRDefault="00B039E8" w:rsidP="00B039E8">
      <w:pPr>
        <w:tabs>
          <w:tab w:val="center" w:pos="9072"/>
        </w:tabs>
        <w:rPr>
          <w:rFonts w:asciiTheme="majorBidi" w:hAnsiTheme="majorBidi" w:cstheme="majorBidi"/>
          <w:sz w:val="24"/>
          <w:szCs w:val="24"/>
        </w:rPr>
      </w:pPr>
      <w:r w:rsidRPr="00B039E8">
        <w:rPr>
          <w:rFonts w:asciiTheme="majorBidi" w:hAnsiTheme="majorBidi" w:cstheme="majorBidi"/>
          <w:sz w:val="24"/>
          <w:szCs w:val="24"/>
        </w:rPr>
        <w:t>L’étude des transports solides du bassin versant d’oued el Abiod, se heurte à l’insuffisance des données, aussi bien qualitatives que quantitatives. Dans ce bassin caractérisé par l’irrégularité de la pluviométrie, des averses torrentielles, par un couvert végétal souvent discontinu, l’érosion est très active, essentiellement sur les pentes fortes et les berges des oueds.</w:t>
      </w:r>
    </w:p>
    <w:p w:rsidR="00B039E8" w:rsidRPr="00B039E8" w:rsidRDefault="001F62E5" w:rsidP="00B039E8">
      <w:pPr>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V.2- Evaluation des apports solides en utilisant les données de turbidité disponibles :</w:t>
      </w:r>
    </w:p>
    <w:p w:rsidR="00B039E8" w:rsidRPr="00B039E8" w:rsidRDefault="001F62E5" w:rsidP="00B039E8">
      <w:pPr>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 xml:space="preserve"> V.2.1 les valeurs des apports liquides, solides au niveau de la station de “ m’chouneche“ :</w:t>
      </w:r>
    </w:p>
    <w:p w:rsidR="00B039E8" w:rsidRPr="00B039E8" w:rsidRDefault="00B039E8" w:rsidP="00B039E8">
      <w:pPr>
        <w:rPr>
          <w:rFonts w:asciiTheme="majorBidi" w:hAnsiTheme="majorBidi" w:cstheme="majorBidi"/>
          <w:b/>
          <w:bCs/>
          <w:sz w:val="24"/>
          <w:szCs w:val="24"/>
        </w:rPr>
      </w:pPr>
    </w:p>
    <w:tbl>
      <w:tblPr>
        <w:tblW w:w="8925" w:type="dxa"/>
        <w:jc w:val="center"/>
        <w:tblLayout w:type="fixed"/>
        <w:tblCellMar>
          <w:left w:w="70" w:type="dxa"/>
          <w:right w:w="70" w:type="dxa"/>
        </w:tblCellMar>
        <w:tblLook w:val="04A0"/>
      </w:tblPr>
      <w:tblGrid>
        <w:gridCol w:w="1785"/>
        <w:gridCol w:w="1785"/>
        <w:gridCol w:w="1785"/>
        <w:gridCol w:w="1785"/>
        <w:gridCol w:w="1785"/>
      </w:tblGrid>
      <w:tr w:rsidR="00B039E8" w:rsidRPr="00B039E8" w:rsidTr="00257DFF">
        <w:trPr>
          <w:trHeight w:val="827"/>
          <w:jc w:val="center"/>
        </w:trPr>
        <w:tc>
          <w:tcPr>
            <w:tcW w:w="1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Année</w:t>
            </w:r>
          </w:p>
        </w:tc>
        <w:tc>
          <w:tcPr>
            <w:tcW w:w="1785" w:type="dxa"/>
            <w:tcBorders>
              <w:top w:val="single" w:sz="4" w:space="0" w:color="auto"/>
              <w:left w:val="nil"/>
              <w:bottom w:val="single" w:sz="4" w:space="0" w:color="auto"/>
              <w:right w:val="single" w:sz="4" w:space="0" w:color="auto"/>
            </w:tcBorders>
            <w:vAlign w:val="center"/>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 xml:space="preserve">Al </w:t>
            </w:r>
          </w:p>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sz w:val="24"/>
                <w:szCs w:val="24"/>
              </w:rPr>
              <w:t>(hm³)</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sz w:val="24"/>
                <w:szCs w:val="24"/>
              </w:rPr>
              <w:t>Lame d’eau écoulée (mm)</w:t>
            </w:r>
          </w:p>
        </w:tc>
        <w:tc>
          <w:tcPr>
            <w:tcW w:w="1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As</w:t>
            </w:r>
          </w:p>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hAnsiTheme="majorBidi" w:cstheme="majorBidi"/>
                <w:b/>
                <w:bCs/>
                <w:sz w:val="24"/>
                <w:szCs w:val="24"/>
              </w:rPr>
              <w:t>(T)</w:t>
            </w:r>
          </w:p>
        </w:tc>
        <w:tc>
          <w:tcPr>
            <w:tcW w:w="1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Ass</w:t>
            </w:r>
          </w:p>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hAnsiTheme="majorBidi" w:cstheme="majorBidi"/>
                <w:b/>
                <w:bCs/>
                <w:sz w:val="24"/>
                <w:szCs w:val="24"/>
              </w:rPr>
              <w:t>(T/km</w:t>
            </w:r>
            <w:r w:rsidRPr="00B039E8">
              <w:rPr>
                <w:rFonts w:asciiTheme="majorBidi" w:hAnsiTheme="majorBidi" w:cstheme="majorBidi"/>
                <w:b/>
                <w:bCs/>
                <w:sz w:val="24"/>
                <w:szCs w:val="24"/>
                <w:vertAlign w:val="superscript"/>
              </w:rPr>
              <w:t>2</w:t>
            </w:r>
            <w:r w:rsidRPr="00B039E8">
              <w:rPr>
                <w:rFonts w:asciiTheme="majorBidi" w:hAnsiTheme="majorBidi" w:cstheme="majorBidi"/>
                <w:b/>
                <w:bCs/>
                <w:sz w:val="24"/>
                <w:szCs w:val="24"/>
              </w:rPr>
              <w:t>)</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1979-1980</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24,354</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18,734</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1728312,15</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1329,47</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1980-1981</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24,026</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18,481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1591928,09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1224,56</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1981-1982</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2,320</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1,785</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213092,31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163,92</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1982-1983</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9,471</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7,286</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338300,59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260,23</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1983-1984</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2,582</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1,986</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109249,99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84,04</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1984-1985</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0,346</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0,266</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8748,64</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6,73</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1985-1986</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3,933</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3,025</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113952,43</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87,66</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1986-1987</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8,395</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6,457</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191730,44</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147,48</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1987-1988</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0,076</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0,058</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967,41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0,74</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1988-1989</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2,884</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2,219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70086,15</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53,91</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1989-1990</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9,113</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7,010</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401389,84</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308,76</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1990-1991</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0,282</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0,217</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7468,44</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5,74</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hAnsiTheme="majorBidi" w:cstheme="majorBidi"/>
                <w:b/>
                <w:bCs/>
                <w:color w:val="000000"/>
                <w:sz w:val="24"/>
                <w:szCs w:val="24"/>
              </w:rPr>
            </w:pPr>
            <w:r w:rsidRPr="00B039E8">
              <w:rPr>
                <w:rFonts w:asciiTheme="majorBidi" w:hAnsiTheme="majorBidi" w:cstheme="majorBidi"/>
                <w:b/>
                <w:bCs/>
                <w:color w:val="000000"/>
                <w:sz w:val="24"/>
                <w:szCs w:val="24"/>
              </w:rPr>
              <w:t>1991-1992</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0,232</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0,178</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5543,48</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4,26</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1992-1993</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0,181</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0,139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3618,51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2,78</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lastRenderedPageBreak/>
              <w:t>1993-1994</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0,038</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0,029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39,36</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0,03</w:t>
            </w:r>
          </w:p>
        </w:tc>
      </w:tr>
      <w:tr w:rsidR="00B039E8" w:rsidRPr="00B039E8" w:rsidTr="00257DFF">
        <w:trPr>
          <w:trHeight w:val="443"/>
          <w:jc w:val="center"/>
        </w:trPr>
        <w:tc>
          <w:tcPr>
            <w:tcW w:w="1785" w:type="dxa"/>
            <w:tcBorders>
              <w:top w:val="nil"/>
              <w:left w:val="single" w:sz="4" w:space="0" w:color="auto"/>
              <w:bottom w:val="single" w:sz="4" w:space="0" w:color="auto"/>
              <w:right w:val="single" w:sz="4" w:space="0" w:color="auto"/>
            </w:tcBorders>
            <w:shd w:val="clear" w:color="auto" w:fill="auto"/>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1994-1995</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0,014</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0,011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7,59</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0,01</w:t>
            </w:r>
          </w:p>
        </w:tc>
      </w:tr>
      <w:tr w:rsidR="00B039E8" w:rsidRPr="00B039E8" w:rsidTr="00257DFF">
        <w:trPr>
          <w:trHeight w:val="183"/>
          <w:jc w:val="center"/>
        </w:trPr>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eastAsia="Times New Roman" w:hAnsiTheme="majorBidi" w:cstheme="majorBidi"/>
                <w:b/>
                <w:bCs/>
                <w:color w:val="000000"/>
                <w:sz w:val="24"/>
                <w:szCs w:val="24"/>
              </w:rPr>
            </w:pPr>
            <w:r w:rsidRPr="00B039E8">
              <w:rPr>
                <w:rFonts w:asciiTheme="majorBidi" w:eastAsia="Times New Roman" w:hAnsiTheme="majorBidi" w:cstheme="majorBidi"/>
                <w:b/>
                <w:bCs/>
                <w:color w:val="000000"/>
                <w:sz w:val="24"/>
                <w:szCs w:val="24"/>
              </w:rPr>
              <w:t xml:space="preserve"> moy</w:t>
            </w:r>
          </w:p>
        </w:tc>
        <w:tc>
          <w:tcPr>
            <w:tcW w:w="1785" w:type="dxa"/>
            <w:tcBorders>
              <w:top w:val="nil"/>
              <w:left w:val="nil"/>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5,515</w:t>
            </w:r>
          </w:p>
        </w:tc>
        <w:tc>
          <w:tcPr>
            <w:tcW w:w="1785" w:type="dxa"/>
            <w:tcBorders>
              <w:top w:val="single" w:sz="4" w:space="0" w:color="auto"/>
              <w:left w:val="single" w:sz="4" w:space="0" w:color="auto"/>
              <w:bottom w:val="single" w:sz="4" w:space="0" w:color="auto"/>
              <w:right w:val="single" w:sz="4" w:space="0" w:color="auto"/>
            </w:tcBorders>
            <w:vAlign w:val="center"/>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4,243</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299027,21</w:t>
            </w:r>
          </w:p>
        </w:tc>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jc w:val="center"/>
              <w:rPr>
                <w:rFonts w:asciiTheme="majorBidi" w:hAnsiTheme="majorBidi" w:cstheme="majorBidi"/>
                <w:color w:val="000000"/>
                <w:sz w:val="24"/>
                <w:szCs w:val="24"/>
              </w:rPr>
            </w:pPr>
            <w:r w:rsidRPr="00B039E8">
              <w:rPr>
                <w:rFonts w:asciiTheme="majorBidi" w:hAnsiTheme="majorBidi" w:cstheme="majorBidi"/>
                <w:color w:val="000000"/>
                <w:sz w:val="24"/>
                <w:szCs w:val="24"/>
              </w:rPr>
              <w:t>230,02</w:t>
            </w:r>
          </w:p>
        </w:tc>
      </w:tr>
    </w:tbl>
    <w:p w:rsidR="00B039E8" w:rsidRPr="00B039E8" w:rsidRDefault="00F942ED" w:rsidP="00F942ED">
      <w:pPr>
        <w:jc w:val="center"/>
        <w:rPr>
          <w:rFonts w:asciiTheme="majorBidi" w:hAnsiTheme="majorBidi" w:cstheme="majorBidi"/>
          <w:b/>
          <w:bCs/>
          <w:sz w:val="24"/>
          <w:szCs w:val="24"/>
        </w:rPr>
      </w:pPr>
      <w:r>
        <w:rPr>
          <w:rFonts w:asciiTheme="majorBidi" w:hAnsiTheme="majorBidi" w:cstheme="majorBidi"/>
          <w:b/>
          <w:bCs/>
          <w:sz w:val="24"/>
          <w:szCs w:val="24"/>
        </w:rPr>
        <w:t>Tableau</w:t>
      </w:r>
      <w:r w:rsidRPr="00F942ED">
        <w:rPr>
          <w:rFonts w:asciiTheme="majorBidi" w:eastAsiaTheme="majorEastAsia" w:hAnsiTheme="majorBidi" w:cstheme="majorBidi"/>
          <w:sz w:val="32"/>
          <w:szCs w:val="32"/>
        </w:rPr>
        <w:t xml:space="preserve"> </w:t>
      </w:r>
      <w:r w:rsidRPr="00F942ED">
        <w:rPr>
          <w:rFonts w:asciiTheme="majorBidi" w:eastAsiaTheme="majorEastAsia" w:hAnsiTheme="majorBidi" w:cstheme="majorBidi"/>
        </w:rPr>
        <w:t>(</w:t>
      </w:r>
      <w:r w:rsidRPr="00F942ED">
        <w:rPr>
          <w:rFonts w:asciiTheme="majorBidi" w:eastAsiaTheme="majorEastAsia" w:hAnsiTheme="majorBidi" w:cstheme="majorBidi"/>
          <w:b/>
          <w:bCs/>
        </w:rPr>
        <w:t>I</w:t>
      </w:r>
      <w:r>
        <w:rPr>
          <w:rFonts w:asciiTheme="majorBidi" w:hAnsiTheme="majorBidi" w:cstheme="majorBidi"/>
          <w:b/>
          <w:bCs/>
          <w:sz w:val="24"/>
          <w:szCs w:val="24"/>
        </w:rPr>
        <w:t xml:space="preserve"> .</w:t>
      </w:r>
      <w:r w:rsidRPr="00F942ED">
        <w:rPr>
          <w:rFonts w:asciiTheme="majorBidi" w:hAnsiTheme="majorBidi" w:cstheme="majorBidi"/>
          <w:b/>
          <w:bCs/>
        </w:rPr>
        <w:t>V</w:t>
      </w:r>
      <w:r>
        <w:rPr>
          <w:rFonts w:asciiTheme="majorBidi" w:hAnsiTheme="majorBidi" w:cstheme="majorBidi"/>
          <w:b/>
          <w:bCs/>
        </w:rPr>
        <w:t>.1) :apports liquides et solid</w:t>
      </w:r>
    </w:p>
    <w:p w:rsidR="00B039E8" w:rsidRPr="00B039E8" w:rsidRDefault="00B039E8" w:rsidP="00B039E8">
      <w:pPr>
        <w:rPr>
          <w:rFonts w:asciiTheme="majorBidi" w:hAnsiTheme="majorBidi" w:cstheme="majorBidi"/>
          <w:b/>
          <w:bCs/>
          <w:sz w:val="24"/>
          <w:szCs w:val="24"/>
        </w:rPr>
      </w:pPr>
    </w:p>
    <w:p w:rsidR="00B039E8" w:rsidRPr="00B039E8" w:rsidRDefault="00B039E8" w:rsidP="00B039E8">
      <w:pPr>
        <w:rPr>
          <w:rFonts w:asciiTheme="majorBidi" w:hAnsiTheme="majorBidi" w:cstheme="majorBidi"/>
          <w:b/>
          <w:bCs/>
          <w:sz w:val="24"/>
          <w:szCs w:val="24"/>
        </w:rPr>
      </w:pPr>
    </w:p>
    <w:p w:rsidR="00B039E8" w:rsidRPr="00B039E8" w:rsidRDefault="001F62E5" w:rsidP="00B039E8">
      <w:pPr>
        <w:tabs>
          <w:tab w:val="center" w:pos="9072"/>
        </w:tabs>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 xml:space="preserve">V.2.2    Variations moyennes annuelles des Apports solides d’oued el Abiod (1979/1994) : </w:t>
      </w:r>
    </w:p>
    <w:p w:rsidR="00B039E8" w:rsidRPr="00B039E8" w:rsidRDefault="00B039E8" w:rsidP="00B039E8">
      <w:pPr>
        <w:tabs>
          <w:tab w:val="center" w:pos="9072"/>
        </w:tabs>
        <w:rPr>
          <w:rFonts w:asciiTheme="majorBidi" w:hAnsiTheme="majorBidi" w:cstheme="majorBidi"/>
          <w:b/>
          <w:bCs/>
          <w:sz w:val="24"/>
          <w:szCs w:val="24"/>
        </w:rPr>
      </w:pPr>
    </w:p>
    <w:p w:rsidR="00B039E8" w:rsidRPr="00B039E8" w:rsidRDefault="00B039E8" w:rsidP="00B039E8">
      <w:pPr>
        <w:tabs>
          <w:tab w:val="center" w:pos="9072"/>
        </w:tabs>
        <w:rPr>
          <w:rFonts w:asciiTheme="majorBidi" w:hAnsiTheme="majorBidi" w:cstheme="majorBidi"/>
          <w:sz w:val="24"/>
          <w:szCs w:val="24"/>
        </w:rPr>
      </w:pPr>
      <w:r w:rsidRPr="00B039E8">
        <w:rPr>
          <w:rFonts w:asciiTheme="majorBidi" w:hAnsiTheme="majorBidi" w:cstheme="majorBidi"/>
          <w:b/>
          <w:bCs/>
          <w:noProof/>
          <w:sz w:val="24"/>
          <w:szCs w:val="24"/>
        </w:rPr>
        <w:drawing>
          <wp:inline distT="0" distB="0" distL="0" distR="0">
            <wp:extent cx="5819775" cy="4314825"/>
            <wp:effectExtent l="19050" t="0" r="9525" b="0"/>
            <wp:docPr id="17"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C5322" w:rsidRDefault="000C5322" w:rsidP="00B039E8">
      <w:pPr>
        <w:rPr>
          <w:rFonts w:asciiTheme="majorBidi" w:eastAsiaTheme="majorEastAsia" w:hAnsiTheme="majorBidi" w:cstheme="majorBidi"/>
          <w:b/>
          <w:bCs/>
          <w:sz w:val="24"/>
          <w:szCs w:val="24"/>
        </w:rPr>
      </w:pPr>
    </w:p>
    <w:p w:rsidR="000C5322" w:rsidRDefault="000C5322" w:rsidP="00B039E8">
      <w:pPr>
        <w:rPr>
          <w:rFonts w:asciiTheme="majorBidi" w:eastAsiaTheme="majorEastAsia" w:hAnsiTheme="majorBidi" w:cstheme="majorBidi"/>
          <w:b/>
          <w:bCs/>
          <w:sz w:val="24"/>
          <w:szCs w:val="24"/>
        </w:rPr>
      </w:pPr>
    </w:p>
    <w:p w:rsidR="000C5322" w:rsidRDefault="000C5322" w:rsidP="00B039E8">
      <w:pPr>
        <w:rPr>
          <w:rFonts w:asciiTheme="majorBidi" w:eastAsiaTheme="majorEastAsia" w:hAnsiTheme="majorBidi" w:cstheme="majorBidi"/>
          <w:b/>
          <w:bCs/>
          <w:sz w:val="24"/>
          <w:szCs w:val="24"/>
        </w:rPr>
      </w:pPr>
    </w:p>
    <w:p w:rsidR="000C5322" w:rsidRDefault="000C5322" w:rsidP="00B039E8">
      <w:pPr>
        <w:rPr>
          <w:rFonts w:asciiTheme="majorBidi" w:eastAsiaTheme="majorEastAsia" w:hAnsiTheme="majorBidi" w:cstheme="majorBidi"/>
          <w:b/>
          <w:bCs/>
          <w:sz w:val="24"/>
          <w:szCs w:val="24"/>
        </w:rPr>
      </w:pPr>
    </w:p>
    <w:p w:rsidR="000C5322" w:rsidRDefault="000C5322" w:rsidP="00B039E8">
      <w:pPr>
        <w:rPr>
          <w:rFonts w:asciiTheme="majorBidi" w:eastAsiaTheme="majorEastAsia" w:hAnsiTheme="majorBidi" w:cstheme="majorBidi"/>
          <w:b/>
          <w:bCs/>
          <w:sz w:val="24"/>
          <w:szCs w:val="24"/>
        </w:rPr>
      </w:pPr>
    </w:p>
    <w:p w:rsidR="00CA1B80" w:rsidRDefault="001F62E5" w:rsidP="000C5322">
      <w:pPr>
        <w:rPr>
          <w:rFonts w:asciiTheme="majorBidi" w:hAnsiTheme="majorBidi" w:cstheme="majorBidi"/>
          <w:b/>
          <w:bCs/>
          <w:sz w:val="24"/>
          <w:szCs w:val="24"/>
        </w:rPr>
      </w:pPr>
      <w:r w:rsidRPr="00AC533E">
        <w:rPr>
          <w:rFonts w:asciiTheme="majorBidi" w:eastAsiaTheme="majorEastAsia" w:hAnsiTheme="majorBidi" w:cstheme="majorBidi"/>
          <w:b/>
          <w:bCs/>
          <w:sz w:val="24"/>
          <w:szCs w:val="24"/>
        </w:rPr>
        <w:lastRenderedPageBreak/>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 xml:space="preserve">V.3- Modélisation des apports solides en </w:t>
      </w:r>
      <w:r w:rsidR="000C5322">
        <w:rPr>
          <w:rFonts w:asciiTheme="majorBidi" w:hAnsiTheme="majorBidi" w:cstheme="majorBidi"/>
          <w:b/>
          <w:bCs/>
          <w:sz w:val="24"/>
          <w:szCs w:val="24"/>
        </w:rPr>
        <w:t>fonction des apports liquides :</w:t>
      </w:r>
    </w:p>
    <w:p w:rsidR="00CA1B80" w:rsidRPr="00B039E8" w:rsidRDefault="00CA1B80" w:rsidP="00B039E8">
      <w:pPr>
        <w:rPr>
          <w:rFonts w:asciiTheme="majorBidi" w:hAnsiTheme="majorBidi" w:cstheme="majorBidi"/>
          <w:b/>
          <w:bCs/>
          <w:sz w:val="24"/>
          <w:szCs w:val="24"/>
        </w:rPr>
      </w:pPr>
    </w:p>
    <w:p w:rsidR="00B039E8" w:rsidRPr="00B039E8" w:rsidRDefault="001F62E5" w:rsidP="00B039E8">
      <w:pPr>
        <w:tabs>
          <w:tab w:val="center" w:pos="9072"/>
        </w:tabs>
        <w:rPr>
          <w:rFonts w:asciiTheme="majorBidi" w:hAnsiTheme="majorBidi" w:cstheme="majorBidi"/>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1F62E5">
        <w:rPr>
          <w:rFonts w:asciiTheme="majorBidi" w:hAnsiTheme="majorBidi" w:cstheme="majorBidi"/>
          <w:b/>
          <w:bCs/>
          <w:sz w:val="24"/>
          <w:szCs w:val="24"/>
        </w:rPr>
        <w:t>V.3.1- A l’échelle annuelle :</w:t>
      </w:r>
    </w:p>
    <w:p w:rsidR="00B039E8" w:rsidRPr="00B039E8" w:rsidRDefault="00B039E8" w:rsidP="00B039E8">
      <w:pPr>
        <w:tabs>
          <w:tab w:val="center" w:pos="9072"/>
        </w:tabs>
        <w:rPr>
          <w:rFonts w:asciiTheme="majorBidi" w:hAnsiTheme="majorBidi" w:cstheme="majorBidi"/>
          <w:sz w:val="24"/>
          <w:szCs w:val="24"/>
        </w:rPr>
      </w:pPr>
    </w:p>
    <w:p w:rsidR="00B039E8" w:rsidRPr="00B039E8" w:rsidRDefault="00B039E8" w:rsidP="00B039E8">
      <w:pPr>
        <w:pStyle w:val="Titre2"/>
        <w:rPr>
          <w:rFonts w:asciiTheme="majorBidi" w:hAnsiTheme="majorBidi"/>
          <w:sz w:val="24"/>
          <w:szCs w:val="24"/>
        </w:rPr>
      </w:pPr>
      <w:r w:rsidRPr="00B039E8">
        <w:rPr>
          <w:rFonts w:asciiTheme="majorBidi" w:hAnsiTheme="majorBidi"/>
          <w:noProof/>
          <w:sz w:val="24"/>
          <w:szCs w:val="24"/>
        </w:rPr>
        <w:drawing>
          <wp:inline distT="0" distB="0" distL="0" distR="0">
            <wp:extent cx="6162674" cy="3905250"/>
            <wp:effectExtent l="19050" t="0" r="0" b="0"/>
            <wp:docPr id="19" name="Image 2" descr="E:\k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kk.png"/>
                    <pic:cNvPicPr>
                      <a:picLocks noChangeAspect="1" noChangeArrowheads="1"/>
                    </pic:cNvPicPr>
                  </pic:nvPicPr>
                  <pic:blipFill>
                    <a:blip r:embed="rId20"/>
                    <a:srcRect/>
                    <a:stretch>
                      <a:fillRect/>
                    </a:stretch>
                  </pic:blipFill>
                  <pic:spPr bwMode="auto">
                    <a:xfrm>
                      <a:off x="0" y="0"/>
                      <a:ext cx="6169095" cy="3909319"/>
                    </a:xfrm>
                    <a:prstGeom prst="rect">
                      <a:avLst/>
                    </a:prstGeom>
                    <a:noFill/>
                    <a:ln w="9525">
                      <a:noFill/>
                      <a:miter lim="800000"/>
                      <a:headEnd/>
                      <a:tailEnd/>
                    </a:ln>
                  </pic:spPr>
                </pic:pic>
              </a:graphicData>
            </a:graphic>
          </wp:inline>
        </w:drawing>
      </w:r>
    </w:p>
    <w:p w:rsidR="00B039E8" w:rsidRPr="00B039E8" w:rsidRDefault="00B039E8" w:rsidP="00B039E8">
      <w:pPr>
        <w:tabs>
          <w:tab w:val="center" w:pos="9072"/>
        </w:tabs>
        <w:rPr>
          <w:rFonts w:asciiTheme="majorBidi" w:hAnsiTheme="majorBidi" w:cstheme="majorBidi"/>
          <w:sz w:val="24"/>
          <w:szCs w:val="24"/>
        </w:rPr>
      </w:pPr>
    </w:p>
    <w:p w:rsidR="00B039E8" w:rsidRPr="00B039E8" w:rsidRDefault="00B039E8" w:rsidP="00B039E8">
      <w:pPr>
        <w:tabs>
          <w:tab w:val="center" w:pos="9072"/>
        </w:tabs>
        <w:rPr>
          <w:rFonts w:asciiTheme="majorBidi" w:hAnsiTheme="majorBidi" w:cstheme="majorBidi"/>
          <w:sz w:val="24"/>
          <w:szCs w:val="24"/>
        </w:rPr>
      </w:pPr>
    </w:p>
    <w:p w:rsidR="00B039E8" w:rsidRPr="00B039E8" w:rsidRDefault="00B039E8" w:rsidP="00B039E8">
      <w:pPr>
        <w:jc w:val="center"/>
        <w:rPr>
          <w:rFonts w:asciiTheme="majorBidi" w:hAnsiTheme="majorBidi" w:cstheme="majorBidi"/>
          <w:b/>
          <w:bCs/>
          <w:sz w:val="24"/>
          <w:szCs w:val="24"/>
        </w:rPr>
      </w:pPr>
      <w:r w:rsidRPr="00B039E8">
        <w:rPr>
          <w:rFonts w:asciiTheme="majorBidi" w:hAnsiTheme="majorBidi" w:cstheme="majorBidi"/>
          <w:b/>
          <w:bCs/>
          <w:sz w:val="24"/>
          <w:szCs w:val="24"/>
        </w:rPr>
        <w:t>Modèles annuelle reliant les apports solides aux apports liquides.</w:t>
      </w:r>
    </w:p>
    <w:tbl>
      <w:tblPr>
        <w:tblW w:w="9924" w:type="dxa"/>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633"/>
        <w:gridCol w:w="1334"/>
        <w:gridCol w:w="2209"/>
        <w:gridCol w:w="4748"/>
      </w:tblGrid>
      <w:tr w:rsidR="00B039E8" w:rsidRPr="00B039E8" w:rsidTr="00257DFF">
        <w:trPr>
          <w:trHeight w:val="241"/>
          <w:jc w:val="center"/>
        </w:trPr>
        <w:tc>
          <w:tcPr>
            <w:tcW w:w="1633" w:type="dxa"/>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a</w:t>
            </w:r>
          </w:p>
        </w:tc>
        <w:tc>
          <w:tcPr>
            <w:tcW w:w="1334" w:type="dxa"/>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b</w:t>
            </w:r>
          </w:p>
        </w:tc>
        <w:tc>
          <w:tcPr>
            <w:tcW w:w="2209" w:type="dxa"/>
            <w:vAlign w:val="center"/>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 xml:space="preserve">Coefficient de  corrélation </w:t>
            </w:r>
          </w:p>
        </w:tc>
        <w:tc>
          <w:tcPr>
            <w:tcW w:w="4748" w:type="dxa"/>
            <w:vAlign w:val="center"/>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Modéle</w:t>
            </w:r>
          </w:p>
        </w:tc>
      </w:tr>
      <w:tr w:rsidR="00B039E8" w:rsidRPr="00B039E8" w:rsidTr="00257DFF">
        <w:trPr>
          <w:trHeight w:val="456"/>
          <w:jc w:val="center"/>
        </w:trPr>
        <w:tc>
          <w:tcPr>
            <w:tcW w:w="1633" w:type="dxa"/>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19297,48</w:t>
            </w:r>
          </w:p>
        </w:tc>
        <w:tc>
          <w:tcPr>
            <w:tcW w:w="1334" w:type="dxa"/>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1,48</w:t>
            </w:r>
          </w:p>
        </w:tc>
        <w:tc>
          <w:tcPr>
            <w:tcW w:w="2209" w:type="dxa"/>
            <w:vAlign w:val="center"/>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eastAsia="Times New Roman" w:hAnsiTheme="majorBidi" w:cstheme="majorBidi"/>
                <w:color w:val="000000"/>
                <w:sz w:val="24"/>
                <w:szCs w:val="24"/>
              </w:rPr>
              <w:t>0.945705</w:t>
            </w:r>
          </w:p>
        </w:tc>
        <w:tc>
          <w:tcPr>
            <w:tcW w:w="4748" w:type="dxa"/>
            <w:vAlign w:val="center"/>
          </w:tcPr>
          <w:p w:rsidR="00B039E8" w:rsidRPr="00B039E8" w:rsidRDefault="00B039E8" w:rsidP="00257DFF">
            <w:pPr>
              <w:spacing w:line="240" w:lineRule="auto"/>
              <w:jc w:val="center"/>
              <w:rPr>
                <w:rFonts w:asciiTheme="majorBidi" w:eastAsia="Times New Roman" w:hAnsiTheme="majorBidi" w:cstheme="majorBidi"/>
                <w:color w:val="000000"/>
                <w:sz w:val="24"/>
                <w:szCs w:val="24"/>
              </w:rPr>
            </w:pPr>
            <w:r w:rsidRPr="00B039E8">
              <w:rPr>
                <w:rFonts w:asciiTheme="majorBidi" w:hAnsiTheme="majorBidi" w:cstheme="majorBidi"/>
                <w:b/>
                <w:bCs/>
                <w:sz w:val="24"/>
                <w:szCs w:val="24"/>
              </w:rPr>
              <w:t>As=19297.48 Al 1.</w:t>
            </w:r>
            <w:r w:rsidRPr="00B039E8">
              <w:rPr>
                <w:rFonts w:asciiTheme="majorBidi" w:hAnsiTheme="majorBidi" w:cstheme="majorBidi"/>
                <w:b/>
                <w:bCs/>
                <w:sz w:val="24"/>
                <w:szCs w:val="24"/>
                <w:vertAlign w:val="superscript"/>
              </w:rPr>
              <w:t>48</w:t>
            </w:r>
          </w:p>
        </w:tc>
      </w:tr>
    </w:tbl>
    <w:p w:rsidR="00B039E8" w:rsidRPr="00B039E8" w:rsidRDefault="00B039E8" w:rsidP="00B039E8">
      <w:pPr>
        <w:tabs>
          <w:tab w:val="center" w:pos="9072"/>
        </w:tabs>
        <w:rPr>
          <w:rFonts w:asciiTheme="majorBidi" w:hAnsiTheme="majorBidi" w:cstheme="majorBidi"/>
          <w:sz w:val="24"/>
          <w:szCs w:val="24"/>
        </w:rPr>
      </w:pPr>
    </w:p>
    <w:p w:rsidR="00B039E8" w:rsidRPr="00B039E8" w:rsidRDefault="00B039E8" w:rsidP="00B039E8">
      <w:pPr>
        <w:tabs>
          <w:tab w:val="center" w:pos="9072"/>
        </w:tabs>
        <w:rPr>
          <w:rFonts w:asciiTheme="majorBidi" w:hAnsiTheme="majorBidi" w:cstheme="majorBidi"/>
          <w:sz w:val="24"/>
          <w:szCs w:val="24"/>
        </w:rPr>
      </w:pPr>
    </w:p>
    <w:p w:rsidR="00B039E8" w:rsidRDefault="00B039E8" w:rsidP="00B039E8">
      <w:pPr>
        <w:tabs>
          <w:tab w:val="center" w:pos="9072"/>
        </w:tabs>
        <w:rPr>
          <w:rFonts w:asciiTheme="majorBidi" w:hAnsiTheme="majorBidi" w:cstheme="majorBidi"/>
          <w:sz w:val="24"/>
          <w:szCs w:val="24"/>
        </w:rPr>
      </w:pPr>
    </w:p>
    <w:p w:rsidR="001F62E5" w:rsidRDefault="001F62E5" w:rsidP="00B039E8">
      <w:pPr>
        <w:tabs>
          <w:tab w:val="center" w:pos="9072"/>
        </w:tabs>
        <w:rPr>
          <w:rFonts w:asciiTheme="majorBidi" w:hAnsiTheme="majorBidi" w:cstheme="majorBidi"/>
          <w:sz w:val="24"/>
          <w:szCs w:val="24"/>
        </w:rPr>
      </w:pPr>
    </w:p>
    <w:p w:rsidR="00B039E8" w:rsidRPr="00B039E8" w:rsidRDefault="00B039E8" w:rsidP="00B039E8">
      <w:pPr>
        <w:tabs>
          <w:tab w:val="center" w:pos="9072"/>
        </w:tabs>
        <w:rPr>
          <w:rFonts w:asciiTheme="majorBidi" w:hAnsiTheme="majorBidi" w:cstheme="majorBidi"/>
          <w:sz w:val="24"/>
          <w:szCs w:val="24"/>
        </w:rPr>
      </w:pPr>
    </w:p>
    <w:p w:rsidR="00B039E8" w:rsidRPr="001F62E5" w:rsidRDefault="001F62E5" w:rsidP="001F62E5">
      <w:pPr>
        <w:rPr>
          <w:rFonts w:asciiTheme="majorBidi" w:hAnsiTheme="majorBidi" w:cstheme="majorBidi"/>
          <w:b/>
          <w:bCs/>
          <w:sz w:val="24"/>
          <w:szCs w:val="24"/>
        </w:rPr>
      </w:pPr>
      <w:r w:rsidRPr="00AC533E">
        <w:rPr>
          <w:rFonts w:asciiTheme="majorBidi" w:eastAsiaTheme="majorEastAsia" w:hAnsiTheme="majorBidi" w:cstheme="majorBidi"/>
          <w:b/>
          <w:bCs/>
          <w:sz w:val="24"/>
          <w:szCs w:val="24"/>
        </w:rPr>
        <w:lastRenderedPageBreak/>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V.4- Evaluation des apports solides en utilisant les données des apports liquides :</w:t>
      </w:r>
    </w:p>
    <w:tbl>
      <w:tblPr>
        <w:tblW w:w="7200" w:type="dxa"/>
        <w:jc w:val="center"/>
        <w:tblInd w:w="-174" w:type="dxa"/>
        <w:tblLayout w:type="fixed"/>
        <w:tblCellMar>
          <w:left w:w="70" w:type="dxa"/>
          <w:right w:w="70" w:type="dxa"/>
        </w:tblCellMar>
        <w:tblLook w:val="04A0"/>
      </w:tblPr>
      <w:tblGrid>
        <w:gridCol w:w="1373"/>
        <w:gridCol w:w="1288"/>
        <w:gridCol w:w="1405"/>
        <w:gridCol w:w="1802"/>
        <w:gridCol w:w="1332"/>
      </w:tblGrid>
      <w:tr w:rsidR="00B039E8" w:rsidRPr="00B039E8" w:rsidTr="00257DFF">
        <w:trPr>
          <w:trHeight w:val="562"/>
          <w:jc w:val="center"/>
        </w:trPr>
        <w:tc>
          <w:tcPr>
            <w:tcW w:w="13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Mois</w:t>
            </w:r>
          </w:p>
        </w:tc>
        <w:tc>
          <w:tcPr>
            <w:tcW w:w="1288" w:type="dxa"/>
            <w:tcBorders>
              <w:top w:val="single" w:sz="4" w:space="0" w:color="auto"/>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Al hm</w:t>
            </w:r>
            <w:r w:rsidRPr="00B039E8">
              <w:rPr>
                <w:rFonts w:asciiTheme="majorBidi" w:eastAsia="Times New Roman" w:hAnsiTheme="majorBidi" w:cstheme="majorBidi"/>
                <w:sz w:val="24"/>
                <w:szCs w:val="24"/>
                <w:vertAlign w:val="superscript"/>
              </w:rPr>
              <w:t>3</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Al (%)</w:t>
            </w:r>
          </w:p>
        </w:tc>
        <w:tc>
          <w:tcPr>
            <w:tcW w:w="1802" w:type="dxa"/>
            <w:tcBorders>
              <w:top w:val="single" w:sz="4" w:space="0" w:color="auto"/>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As (T)</w:t>
            </w:r>
          </w:p>
        </w:tc>
        <w:tc>
          <w:tcPr>
            <w:tcW w:w="1332" w:type="dxa"/>
            <w:tcBorders>
              <w:top w:val="single" w:sz="4" w:space="0" w:color="auto"/>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As (%)</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Sep</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2,56</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20,71</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124980,97</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40,80</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Oct</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1,09</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8,82</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28364,80</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9,26</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Nov</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0,82</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6,63</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22787,14</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7,44</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Déc</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0,75</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6,07</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65,45</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0,02</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Jan</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1,17</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9,47</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1,54</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0,00</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Fév</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0,95</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7,69</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16064,84</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5,24</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Mars</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1,31</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10,60</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28366,86</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9,26</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Avr</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1,31</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10,60</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23488,11</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7,67</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Mai</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1,02</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8,25</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26392,14</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8,62</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Juin</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0,73</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5,91</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24795,49</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8,09</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Juil</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0,23</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1,86</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0,00</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0,00</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Aout</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0,42</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3,40</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11004,11</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3,59</w:t>
            </w:r>
          </w:p>
        </w:tc>
      </w:tr>
      <w:tr w:rsidR="00B039E8" w:rsidRPr="00B039E8" w:rsidTr="00257DFF">
        <w:trPr>
          <w:trHeight w:val="397"/>
          <w:jc w:val="center"/>
        </w:trPr>
        <w:tc>
          <w:tcPr>
            <w:tcW w:w="1373" w:type="dxa"/>
            <w:tcBorders>
              <w:top w:val="nil"/>
              <w:left w:val="single" w:sz="4" w:space="0" w:color="auto"/>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b/>
                <w:bCs/>
                <w:sz w:val="24"/>
                <w:szCs w:val="24"/>
              </w:rPr>
            </w:pPr>
            <w:r w:rsidRPr="00B039E8">
              <w:rPr>
                <w:rFonts w:asciiTheme="majorBidi" w:eastAsia="Times New Roman" w:hAnsiTheme="majorBidi" w:cstheme="majorBidi"/>
                <w:b/>
                <w:bCs/>
                <w:sz w:val="24"/>
                <w:szCs w:val="24"/>
              </w:rPr>
              <w:t>Total</w:t>
            </w:r>
          </w:p>
        </w:tc>
        <w:tc>
          <w:tcPr>
            <w:tcW w:w="1288"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12,36</w:t>
            </w:r>
          </w:p>
        </w:tc>
        <w:tc>
          <w:tcPr>
            <w:tcW w:w="1405"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100,00</w:t>
            </w:r>
          </w:p>
        </w:tc>
        <w:tc>
          <w:tcPr>
            <w:tcW w:w="180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306311,45</w:t>
            </w:r>
          </w:p>
        </w:tc>
        <w:tc>
          <w:tcPr>
            <w:tcW w:w="1332" w:type="dxa"/>
            <w:tcBorders>
              <w:top w:val="nil"/>
              <w:left w:val="nil"/>
              <w:bottom w:val="single" w:sz="4" w:space="0" w:color="auto"/>
              <w:right w:val="single" w:sz="4" w:space="0" w:color="auto"/>
            </w:tcBorders>
            <w:shd w:val="clear" w:color="auto" w:fill="auto"/>
            <w:noWrap/>
            <w:vAlign w:val="center"/>
            <w:hideMark/>
          </w:tcPr>
          <w:p w:rsidR="00B039E8" w:rsidRPr="00B039E8" w:rsidRDefault="00B039E8" w:rsidP="00257DFF">
            <w:pPr>
              <w:spacing w:line="240" w:lineRule="auto"/>
              <w:jc w:val="center"/>
              <w:rPr>
                <w:rFonts w:asciiTheme="majorBidi" w:eastAsia="Times New Roman" w:hAnsiTheme="majorBidi" w:cstheme="majorBidi"/>
                <w:sz w:val="24"/>
                <w:szCs w:val="24"/>
              </w:rPr>
            </w:pPr>
            <w:r w:rsidRPr="00B039E8">
              <w:rPr>
                <w:rFonts w:asciiTheme="majorBidi" w:eastAsia="Times New Roman" w:hAnsiTheme="majorBidi" w:cstheme="majorBidi"/>
                <w:sz w:val="24"/>
                <w:szCs w:val="24"/>
              </w:rPr>
              <w:t>100,00</w:t>
            </w:r>
          </w:p>
        </w:tc>
      </w:tr>
    </w:tbl>
    <w:p w:rsidR="00B039E8" w:rsidRDefault="00B039E8" w:rsidP="00B039E8">
      <w:pPr>
        <w:tabs>
          <w:tab w:val="left" w:pos="3363"/>
        </w:tabs>
        <w:jc w:val="center"/>
        <w:rPr>
          <w:rFonts w:asciiTheme="majorBidi" w:hAnsiTheme="majorBidi" w:cstheme="majorBidi"/>
          <w:i/>
          <w:iCs/>
        </w:rPr>
      </w:pPr>
    </w:p>
    <w:p w:rsidR="00B039E8" w:rsidRPr="00B039E8" w:rsidRDefault="00B039E8" w:rsidP="000C5322">
      <w:pPr>
        <w:tabs>
          <w:tab w:val="left" w:pos="3363"/>
        </w:tabs>
        <w:jc w:val="center"/>
        <w:rPr>
          <w:rFonts w:asciiTheme="majorBidi" w:hAnsiTheme="majorBidi" w:cstheme="majorBidi"/>
          <w:b/>
          <w:bCs/>
        </w:rPr>
      </w:pPr>
      <w:r w:rsidRPr="00B039E8">
        <w:rPr>
          <w:rFonts w:asciiTheme="majorBidi" w:hAnsiTheme="majorBidi" w:cstheme="majorBidi"/>
          <w:i/>
          <w:iCs/>
        </w:rPr>
        <w:t xml:space="preserve"> </w:t>
      </w:r>
      <w:r w:rsidRPr="00B039E8">
        <w:rPr>
          <w:rFonts w:asciiTheme="majorBidi" w:hAnsiTheme="majorBidi" w:cstheme="majorBidi"/>
          <w:b/>
          <w:bCs/>
        </w:rPr>
        <w:t>Tableau (</w:t>
      </w:r>
      <w:r w:rsidR="001249FC" w:rsidRPr="00AC533E">
        <w:rPr>
          <w:rFonts w:asciiTheme="majorBidi" w:eastAsiaTheme="majorEastAsia" w:hAnsiTheme="majorBidi" w:cstheme="majorBidi"/>
          <w:b/>
          <w:bCs/>
          <w:sz w:val="24"/>
          <w:szCs w:val="24"/>
        </w:rPr>
        <w:t>I</w:t>
      </w:r>
      <w:r w:rsidR="001249FC">
        <w:rPr>
          <w:rFonts w:asciiTheme="majorBidi" w:eastAsiaTheme="majorEastAsia" w:hAnsiTheme="majorBidi" w:cstheme="majorBidi"/>
          <w:b/>
          <w:bCs/>
          <w:sz w:val="24"/>
          <w:szCs w:val="24"/>
        </w:rPr>
        <w:t>.</w:t>
      </w:r>
      <w:r w:rsidRPr="00B039E8">
        <w:rPr>
          <w:rFonts w:asciiTheme="majorBidi" w:hAnsiTheme="majorBidi" w:cstheme="majorBidi"/>
          <w:b/>
          <w:bCs/>
        </w:rPr>
        <w:t>V.7) : Evaluation des apports solides.</w:t>
      </w:r>
    </w:p>
    <w:p w:rsidR="00B039E8" w:rsidRPr="00B039E8" w:rsidRDefault="00B039E8" w:rsidP="00B039E8">
      <w:pPr>
        <w:ind w:left="993"/>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4384" behindDoc="0" locked="0" layoutInCell="1" allowOverlap="1">
            <wp:simplePos x="0" y="0"/>
            <wp:positionH relativeFrom="column">
              <wp:posOffset>820420</wp:posOffset>
            </wp:positionH>
            <wp:positionV relativeFrom="paragraph">
              <wp:posOffset>261620</wp:posOffset>
            </wp:positionV>
            <wp:extent cx="4699000" cy="2505710"/>
            <wp:effectExtent l="19050" t="0" r="25400" b="8890"/>
            <wp:wrapSquare wrapText="bothSides"/>
            <wp:docPr id="2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rsidR="00B039E8" w:rsidRPr="00B039E8" w:rsidRDefault="00B039E8" w:rsidP="00B039E8">
      <w:pPr>
        <w:rPr>
          <w:rFonts w:asciiTheme="majorBidi" w:hAnsiTheme="majorBidi" w:cstheme="majorBidi"/>
          <w:color w:val="000000"/>
          <w:sz w:val="24"/>
          <w:szCs w:val="24"/>
        </w:rPr>
      </w:pPr>
    </w:p>
    <w:p w:rsidR="00B039E8" w:rsidRPr="00B039E8" w:rsidRDefault="00B039E8" w:rsidP="00B039E8">
      <w:pPr>
        <w:tabs>
          <w:tab w:val="left" w:pos="7938"/>
        </w:tabs>
        <w:rPr>
          <w:rFonts w:asciiTheme="majorBidi" w:hAnsiTheme="majorBidi" w:cstheme="majorBidi"/>
          <w:color w:val="000000"/>
          <w:sz w:val="24"/>
          <w:szCs w:val="24"/>
        </w:rPr>
      </w:pPr>
    </w:p>
    <w:p w:rsidR="00B039E8" w:rsidRPr="00B039E8" w:rsidRDefault="00B039E8" w:rsidP="00B039E8">
      <w:pPr>
        <w:jc w:val="center"/>
        <w:rPr>
          <w:rFonts w:asciiTheme="majorBidi" w:hAnsiTheme="majorBidi" w:cstheme="majorBidi"/>
          <w:b/>
          <w:bCs/>
          <w:sz w:val="24"/>
          <w:szCs w:val="24"/>
        </w:rPr>
      </w:pPr>
    </w:p>
    <w:p w:rsidR="00B039E8" w:rsidRPr="00B039E8" w:rsidRDefault="00B039E8" w:rsidP="00B039E8">
      <w:pPr>
        <w:jc w:val="center"/>
        <w:rPr>
          <w:rFonts w:asciiTheme="majorBidi" w:hAnsiTheme="majorBidi" w:cstheme="majorBidi"/>
          <w:b/>
          <w:bCs/>
          <w:sz w:val="24"/>
          <w:szCs w:val="24"/>
        </w:rPr>
      </w:pPr>
    </w:p>
    <w:p w:rsidR="00B039E8" w:rsidRPr="00B039E8" w:rsidRDefault="00B039E8" w:rsidP="00B039E8">
      <w:pPr>
        <w:jc w:val="center"/>
        <w:rPr>
          <w:rFonts w:asciiTheme="majorBidi" w:hAnsiTheme="majorBidi" w:cstheme="majorBidi"/>
          <w:b/>
          <w:bCs/>
          <w:sz w:val="24"/>
          <w:szCs w:val="24"/>
        </w:rPr>
      </w:pPr>
    </w:p>
    <w:p w:rsidR="00B039E8" w:rsidRPr="00B039E8" w:rsidRDefault="00B039E8" w:rsidP="00B039E8">
      <w:pPr>
        <w:jc w:val="center"/>
        <w:rPr>
          <w:rFonts w:asciiTheme="majorBidi" w:hAnsiTheme="majorBidi" w:cstheme="majorBidi"/>
          <w:b/>
          <w:bCs/>
          <w:sz w:val="24"/>
          <w:szCs w:val="24"/>
        </w:rPr>
      </w:pPr>
      <w:r w:rsidRPr="00B039E8">
        <w:rPr>
          <w:rFonts w:asciiTheme="majorBidi" w:hAnsiTheme="majorBidi" w:cstheme="majorBidi"/>
          <w:b/>
          <w:bCs/>
          <w:sz w:val="24"/>
          <w:szCs w:val="24"/>
        </w:rPr>
        <w:t>Comparaison apport-solide apport liquide.</w:t>
      </w:r>
    </w:p>
    <w:p w:rsidR="00B039E8" w:rsidRPr="00B039E8" w:rsidRDefault="00B039E8" w:rsidP="00B039E8">
      <w:pPr>
        <w:tabs>
          <w:tab w:val="center" w:pos="9072"/>
        </w:tabs>
        <w:rPr>
          <w:rFonts w:asciiTheme="majorBidi" w:hAnsiTheme="majorBidi" w:cstheme="majorBidi"/>
          <w:sz w:val="24"/>
          <w:szCs w:val="24"/>
        </w:rPr>
      </w:pPr>
    </w:p>
    <w:p w:rsidR="00B039E8" w:rsidRPr="00B039E8" w:rsidRDefault="001F62E5" w:rsidP="00B039E8">
      <w:pPr>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V.5- Evaluation saisonnière des apports solides en utilisant les données des apports liquides :</w:t>
      </w:r>
    </w:p>
    <w:p w:rsidR="00B039E8" w:rsidRPr="00B039E8" w:rsidRDefault="00B039E8" w:rsidP="00B039E8">
      <w:pPr>
        <w:rPr>
          <w:rFonts w:asciiTheme="majorBidi" w:hAnsiTheme="majorBidi" w:cstheme="majorBidi"/>
          <w:b/>
          <w:bCs/>
          <w:sz w:val="24"/>
          <w:szCs w:val="24"/>
        </w:rPr>
      </w:pPr>
    </w:p>
    <w:tbl>
      <w:tblPr>
        <w:tblStyle w:val="Grilledutableau"/>
        <w:tblW w:w="0" w:type="auto"/>
        <w:tblLook w:val="04A0"/>
      </w:tblPr>
      <w:tblGrid>
        <w:gridCol w:w="2362"/>
        <w:gridCol w:w="1699"/>
        <w:gridCol w:w="1700"/>
        <w:gridCol w:w="2002"/>
        <w:gridCol w:w="1525"/>
      </w:tblGrid>
      <w:tr w:rsidR="00B039E8" w:rsidRPr="00B039E8" w:rsidTr="00B039E8">
        <w:trPr>
          <w:trHeight w:val="731"/>
        </w:trPr>
        <w:tc>
          <w:tcPr>
            <w:tcW w:w="2362" w:type="dxa"/>
            <w:tcBorders>
              <w:top w:val="double" w:sz="4" w:space="0" w:color="auto"/>
              <w:left w:val="double" w:sz="4" w:space="0" w:color="auto"/>
            </w:tcBorders>
          </w:tcPr>
          <w:p w:rsidR="00B039E8" w:rsidRPr="00B039E8" w:rsidRDefault="00B039E8" w:rsidP="00257DFF">
            <w:pPr>
              <w:tabs>
                <w:tab w:val="center" w:pos="9072"/>
              </w:tabs>
              <w:jc w:val="center"/>
              <w:rPr>
                <w:rFonts w:asciiTheme="majorBidi" w:hAnsiTheme="majorBidi" w:cstheme="majorBidi"/>
                <w:b/>
                <w:bCs/>
                <w:sz w:val="24"/>
                <w:szCs w:val="24"/>
              </w:rPr>
            </w:pPr>
            <w:r w:rsidRPr="00B039E8">
              <w:rPr>
                <w:rFonts w:asciiTheme="majorBidi" w:hAnsiTheme="majorBidi" w:cstheme="majorBidi"/>
                <w:b/>
                <w:bCs/>
                <w:sz w:val="24"/>
                <w:szCs w:val="24"/>
              </w:rPr>
              <w:t>Saison</w:t>
            </w:r>
          </w:p>
          <w:p w:rsidR="00B039E8" w:rsidRPr="00B039E8" w:rsidRDefault="00B039E8" w:rsidP="00257DFF">
            <w:pPr>
              <w:tabs>
                <w:tab w:val="center" w:pos="9072"/>
              </w:tabs>
              <w:rPr>
                <w:rFonts w:asciiTheme="majorBidi" w:hAnsiTheme="majorBidi" w:cstheme="majorBidi"/>
                <w:b/>
                <w:bCs/>
                <w:sz w:val="24"/>
                <w:szCs w:val="24"/>
              </w:rPr>
            </w:pPr>
          </w:p>
        </w:tc>
        <w:tc>
          <w:tcPr>
            <w:tcW w:w="1699" w:type="dxa"/>
            <w:tcBorders>
              <w:top w:val="double" w:sz="4" w:space="0" w:color="auto"/>
              <w:bottom w:val="single" w:sz="4" w:space="0" w:color="auto"/>
            </w:tcBorders>
          </w:tcPr>
          <w:p w:rsidR="00B039E8" w:rsidRPr="00B039E8" w:rsidRDefault="00B039E8" w:rsidP="00257DFF">
            <w:pPr>
              <w:tabs>
                <w:tab w:val="center" w:pos="9072"/>
              </w:tabs>
              <w:jc w:val="center"/>
              <w:rPr>
                <w:rFonts w:asciiTheme="majorBidi" w:hAnsiTheme="majorBidi" w:cstheme="majorBidi"/>
                <w:b/>
                <w:bCs/>
                <w:sz w:val="24"/>
                <w:szCs w:val="24"/>
              </w:rPr>
            </w:pPr>
            <w:r w:rsidRPr="00B039E8">
              <w:rPr>
                <w:rFonts w:asciiTheme="majorBidi" w:hAnsiTheme="majorBidi" w:cstheme="majorBidi"/>
                <w:b/>
                <w:bCs/>
                <w:sz w:val="24"/>
                <w:szCs w:val="24"/>
              </w:rPr>
              <w:t>AL (</w:t>
            </w:r>
            <w:r w:rsidRPr="00B039E8">
              <w:rPr>
                <w:rFonts w:asciiTheme="majorBidi" w:eastAsia="Times New Roman" w:hAnsiTheme="majorBidi" w:cstheme="majorBidi"/>
                <w:b/>
                <w:bCs/>
                <w:sz w:val="24"/>
                <w:szCs w:val="24"/>
              </w:rPr>
              <w:t>hm</w:t>
            </w:r>
            <w:r w:rsidRPr="00B039E8">
              <w:rPr>
                <w:rFonts w:asciiTheme="majorBidi" w:eastAsia="Times New Roman" w:hAnsiTheme="majorBidi" w:cstheme="majorBidi"/>
                <w:b/>
                <w:bCs/>
                <w:sz w:val="24"/>
                <w:szCs w:val="24"/>
                <w:vertAlign w:val="superscript"/>
              </w:rPr>
              <w:t>3)</w:t>
            </w:r>
          </w:p>
        </w:tc>
        <w:tc>
          <w:tcPr>
            <w:tcW w:w="1700" w:type="dxa"/>
            <w:tcBorders>
              <w:top w:val="double" w:sz="4" w:space="0" w:color="auto"/>
            </w:tcBorders>
          </w:tcPr>
          <w:p w:rsidR="00B039E8" w:rsidRPr="00B039E8" w:rsidRDefault="00B039E8" w:rsidP="00257DFF">
            <w:pPr>
              <w:tabs>
                <w:tab w:val="center" w:pos="9072"/>
              </w:tabs>
              <w:rPr>
                <w:rFonts w:asciiTheme="majorBidi" w:hAnsiTheme="majorBidi" w:cstheme="majorBidi"/>
                <w:b/>
                <w:bCs/>
                <w:sz w:val="24"/>
                <w:szCs w:val="24"/>
              </w:rPr>
            </w:pPr>
            <w:r w:rsidRPr="00B039E8">
              <w:rPr>
                <w:rFonts w:asciiTheme="majorBidi" w:hAnsiTheme="majorBidi" w:cstheme="majorBidi"/>
                <w:b/>
                <w:bCs/>
                <w:sz w:val="24"/>
                <w:szCs w:val="24"/>
              </w:rPr>
              <w:t>AL (%)</w:t>
            </w:r>
          </w:p>
        </w:tc>
        <w:tc>
          <w:tcPr>
            <w:tcW w:w="2002" w:type="dxa"/>
            <w:tcBorders>
              <w:top w:val="double" w:sz="4" w:space="0" w:color="auto"/>
            </w:tcBorders>
          </w:tcPr>
          <w:p w:rsidR="00B039E8" w:rsidRPr="00B039E8" w:rsidRDefault="00B039E8" w:rsidP="00257DFF">
            <w:pPr>
              <w:tabs>
                <w:tab w:val="center" w:pos="9072"/>
              </w:tabs>
              <w:jc w:val="center"/>
              <w:rPr>
                <w:rFonts w:asciiTheme="majorBidi" w:hAnsiTheme="majorBidi" w:cstheme="majorBidi"/>
                <w:b/>
                <w:bCs/>
                <w:sz w:val="24"/>
                <w:szCs w:val="24"/>
              </w:rPr>
            </w:pPr>
            <w:r w:rsidRPr="00B039E8">
              <w:rPr>
                <w:rFonts w:asciiTheme="majorBidi" w:hAnsiTheme="majorBidi" w:cstheme="majorBidi"/>
                <w:b/>
                <w:bCs/>
                <w:sz w:val="24"/>
                <w:szCs w:val="24"/>
              </w:rPr>
              <w:t>As (T)</w:t>
            </w:r>
          </w:p>
        </w:tc>
        <w:tc>
          <w:tcPr>
            <w:tcW w:w="1525" w:type="dxa"/>
            <w:tcBorders>
              <w:top w:val="double" w:sz="4" w:space="0" w:color="auto"/>
              <w:right w:val="double" w:sz="4" w:space="0" w:color="auto"/>
            </w:tcBorders>
          </w:tcPr>
          <w:p w:rsidR="00B039E8" w:rsidRPr="00B039E8" w:rsidRDefault="00B039E8" w:rsidP="00257DFF">
            <w:pPr>
              <w:tabs>
                <w:tab w:val="center" w:pos="9072"/>
              </w:tabs>
              <w:jc w:val="center"/>
              <w:rPr>
                <w:rFonts w:asciiTheme="majorBidi" w:hAnsiTheme="majorBidi" w:cstheme="majorBidi"/>
                <w:b/>
                <w:bCs/>
                <w:sz w:val="24"/>
                <w:szCs w:val="24"/>
              </w:rPr>
            </w:pPr>
            <w:r w:rsidRPr="00B039E8">
              <w:rPr>
                <w:rFonts w:asciiTheme="majorBidi" w:hAnsiTheme="majorBidi" w:cstheme="majorBidi"/>
                <w:b/>
                <w:bCs/>
                <w:sz w:val="24"/>
                <w:szCs w:val="24"/>
              </w:rPr>
              <w:t>As (%)</w:t>
            </w:r>
          </w:p>
        </w:tc>
      </w:tr>
      <w:tr w:rsidR="00B039E8" w:rsidRPr="00B039E8" w:rsidTr="00B039E8">
        <w:trPr>
          <w:trHeight w:val="1115"/>
        </w:trPr>
        <w:tc>
          <w:tcPr>
            <w:tcW w:w="2362" w:type="dxa"/>
            <w:tcBorders>
              <w:left w:val="doub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Sep+oct+nov</w:t>
            </w:r>
          </w:p>
        </w:tc>
        <w:tc>
          <w:tcPr>
            <w:tcW w:w="1699" w:type="dxa"/>
            <w:tcBorders>
              <w:top w:val="sing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4.47</w:t>
            </w:r>
          </w:p>
        </w:tc>
        <w:tc>
          <w:tcPr>
            <w:tcW w:w="1700"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36.16</w:t>
            </w:r>
          </w:p>
        </w:tc>
        <w:tc>
          <w:tcPr>
            <w:tcW w:w="2002"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176132.91</w:t>
            </w:r>
          </w:p>
        </w:tc>
        <w:tc>
          <w:tcPr>
            <w:tcW w:w="1525" w:type="dxa"/>
            <w:tcBorders>
              <w:righ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57.5</w:t>
            </w:r>
          </w:p>
        </w:tc>
      </w:tr>
      <w:tr w:rsidR="00B039E8" w:rsidRPr="00B039E8" w:rsidTr="00B039E8">
        <w:trPr>
          <w:trHeight w:val="848"/>
        </w:trPr>
        <w:tc>
          <w:tcPr>
            <w:tcW w:w="2362" w:type="dxa"/>
            <w:tcBorders>
              <w:lef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Dec+janv+fév</w:t>
            </w:r>
          </w:p>
        </w:tc>
        <w:tc>
          <w:tcPr>
            <w:tcW w:w="1699"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2.87</w:t>
            </w:r>
          </w:p>
        </w:tc>
        <w:tc>
          <w:tcPr>
            <w:tcW w:w="1700"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23.23</w:t>
            </w:r>
          </w:p>
        </w:tc>
        <w:tc>
          <w:tcPr>
            <w:tcW w:w="2002"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16131.83</w:t>
            </w:r>
          </w:p>
        </w:tc>
        <w:tc>
          <w:tcPr>
            <w:tcW w:w="1525" w:type="dxa"/>
            <w:tcBorders>
              <w:righ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5.26</w:t>
            </w:r>
          </w:p>
        </w:tc>
      </w:tr>
      <w:tr w:rsidR="00B039E8" w:rsidRPr="00B039E8" w:rsidTr="00B039E8">
        <w:trPr>
          <w:trHeight w:val="846"/>
        </w:trPr>
        <w:tc>
          <w:tcPr>
            <w:tcW w:w="2362" w:type="dxa"/>
            <w:tcBorders>
              <w:lef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Mars+avr+mai</w:t>
            </w:r>
          </w:p>
        </w:tc>
        <w:tc>
          <w:tcPr>
            <w:tcW w:w="1699"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3.64</w:t>
            </w:r>
          </w:p>
        </w:tc>
        <w:tc>
          <w:tcPr>
            <w:tcW w:w="1700"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29.45</w:t>
            </w:r>
          </w:p>
        </w:tc>
        <w:tc>
          <w:tcPr>
            <w:tcW w:w="2002"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78247.11</w:t>
            </w:r>
          </w:p>
        </w:tc>
        <w:tc>
          <w:tcPr>
            <w:tcW w:w="1525" w:type="dxa"/>
            <w:tcBorders>
              <w:righ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25.55</w:t>
            </w:r>
          </w:p>
        </w:tc>
      </w:tr>
      <w:tr w:rsidR="00B039E8" w:rsidRPr="00B039E8" w:rsidTr="00B039E8">
        <w:trPr>
          <w:trHeight w:val="890"/>
        </w:trPr>
        <w:tc>
          <w:tcPr>
            <w:tcW w:w="2362" w:type="dxa"/>
            <w:tcBorders>
              <w:lef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Jui+juil+aout</w:t>
            </w:r>
          </w:p>
        </w:tc>
        <w:tc>
          <w:tcPr>
            <w:tcW w:w="1699"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1.38</w:t>
            </w:r>
          </w:p>
          <w:p w:rsidR="00B039E8" w:rsidRPr="00B039E8" w:rsidRDefault="00B039E8" w:rsidP="00257DFF">
            <w:pPr>
              <w:tabs>
                <w:tab w:val="center" w:pos="9072"/>
              </w:tabs>
              <w:jc w:val="center"/>
              <w:rPr>
                <w:rFonts w:asciiTheme="majorBidi" w:hAnsiTheme="majorBidi" w:cstheme="majorBidi"/>
                <w:sz w:val="24"/>
                <w:szCs w:val="24"/>
              </w:rPr>
            </w:pPr>
          </w:p>
        </w:tc>
        <w:tc>
          <w:tcPr>
            <w:tcW w:w="1700"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11.17</w:t>
            </w:r>
          </w:p>
        </w:tc>
        <w:tc>
          <w:tcPr>
            <w:tcW w:w="2002" w:type="dxa"/>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35799.6</w:t>
            </w:r>
          </w:p>
        </w:tc>
        <w:tc>
          <w:tcPr>
            <w:tcW w:w="1525" w:type="dxa"/>
            <w:tcBorders>
              <w:righ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11.68</w:t>
            </w:r>
          </w:p>
        </w:tc>
      </w:tr>
      <w:tr w:rsidR="00B039E8" w:rsidRPr="00B039E8" w:rsidTr="00B039E8">
        <w:trPr>
          <w:trHeight w:val="996"/>
        </w:trPr>
        <w:tc>
          <w:tcPr>
            <w:tcW w:w="2362" w:type="dxa"/>
            <w:tcBorders>
              <w:left w:val="double" w:sz="4" w:space="0" w:color="auto"/>
              <w:bottom w:val="doub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total</w:t>
            </w:r>
          </w:p>
        </w:tc>
        <w:tc>
          <w:tcPr>
            <w:tcW w:w="1699" w:type="dxa"/>
            <w:tcBorders>
              <w:bottom w:val="doub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12.36</w:t>
            </w:r>
          </w:p>
        </w:tc>
        <w:tc>
          <w:tcPr>
            <w:tcW w:w="1700" w:type="dxa"/>
            <w:tcBorders>
              <w:bottom w:val="doub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hAnsiTheme="majorBidi" w:cstheme="majorBidi"/>
                <w:sz w:val="24"/>
                <w:szCs w:val="24"/>
              </w:rPr>
              <w:t>100</w:t>
            </w:r>
          </w:p>
        </w:tc>
        <w:tc>
          <w:tcPr>
            <w:tcW w:w="2002" w:type="dxa"/>
            <w:tcBorders>
              <w:bottom w:val="double" w:sz="4" w:space="0" w:color="auto"/>
            </w:tcBorders>
          </w:tcPr>
          <w:p w:rsidR="00B039E8" w:rsidRPr="00B039E8" w:rsidRDefault="00B039E8" w:rsidP="00257DFF">
            <w:pPr>
              <w:tabs>
                <w:tab w:val="center" w:pos="9072"/>
              </w:tabs>
              <w:jc w:val="center"/>
              <w:rPr>
                <w:rFonts w:asciiTheme="majorBidi" w:hAnsiTheme="majorBidi" w:cstheme="majorBidi"/>
                <w:sz w:val="24"/>
                <w:szCs w:val="24"/>
              </w:rPr>
            </w:pPr>
            <w:r w:rsidRPr="00B039E8">
              <w:rPr>
                <w:rFonts w:asciiTheme="majorBidi" w:eastAsia="Times New Roman" w:hAnsiTheme="majorBidi" w:cstheme="majorBidi"/>
                <w:sz w:val="24"/>
                <w:szCs w:val="24"/>
              </w:rPr>
              <w:t>306311,45</w:t>
            </w:r>
          </w:p>
        </w:tc>
        <w:tc>
          <w:tcPr>
            <w:tcW w:w="1525" w:type="dxa"/>
            <w:tcBorders>
              <w:bottom w:val="double" w:sz="4" w:space="0" w:color="auto"/>
              <w:right w:val="double" w:sz="4" w:space="0" w:color="auto"/>
            </w:tcBorders>
          </w:tcPr>
          <w:p w:rsidR="00B039E8" w:rsidRPr="00B039E8" w:rsidRDefault="00B039E8" w:rsidP="00257DFF">
            <w:pPr>
              <w:tabs>
                <w:tab w:val="center" w:pos="9072"/>
              </w:tabs>
              <w:rPr>
                <w:rFonts w:asciiTheme="majorBidi" w:hAnsiTheme="majorBidi" w:cstheme="majorBidi"/>
                <w:sz w:val="24"/>
                <w:szCs w:val="24"/>
              </w:rPr>
            </w:pPr>
            <w:r w:rsidRPr="00B039E8">
              <w:rPr>
                <w:rFonts w:asciiTheme="majorBidi" w:hAnsiTheme="majorBidi" w:cstheme="majorBidi"/>
                <w:sz w:val="24"/>
                <w:szCs w:val="24"/>
              </w:rPr>
              <w:t>100</w:t>
            </w:r>
          </w:p>
        </w:tc>
      </w:tr>
    </w:tbl>
    <w:p w:rsidR="00B039E8" w:rsidRDefault="00B039E8" w:rsidP="00B039E8">
      <w:pPr>
        <w:tabs>
          <w:tab w:val="center" w:pos="9072"/>
        </w:tabs>
        <w:rPr>
          <w:rFonts w:asciiTheme="majorBidi" w:hAnsiTheme="majorBidi" w:cstheme="majorBidi"/>
          <w:sz w:val="24"/>
          <w:szCs w:val="24"/>
        </w:rPr>
      </w:pPr>
    </w:p>
    <w:p w:rsidR="00B039E8" w:rsidRPr="00B039E8" w:rsidRDefault="00B039E8" w:rsidP="00B039E8">
      <w:pPr>
        <w:tabs>
          <w:tab w:val="center" w:pos="9072"/>
        </w:tabs>
        <w:rPr>
          <w:rFonts w:asciiTheme="majorBidi" w:hAnsiTheme="majorBidi" w:cstheme="majorBidi"/>
          <w:sz w:val="24"/>
          <w:szCs w:val="24"/>
        </w:rPr>
      </w:pPr>
    </w:p>
    <w:p w:rsidR="00B039E8" w:rsidRPr="00B039E8" w:rsidRDefault="00B039E8" w:rsidP="002F15C9">
      <w:pPr>
        <w:tabs>
          <w:tab w:val="center" w:pos="9072"/>
        </w:tabs>
        <w:jc w:val="center"/>
        <w:rPr>
          <w:rFonts w:asciiTheme="majorBidi" w:hAnsiTheme="majorBidi" w:cstheme="majorBidi"/>
          <w:sz w:val="24"/>
          <w:szCs w:val="24"/>
        </w:rPr>
      </w:pPr>
      <w:r w:rsidRPr="00B039E8">
        <w:rPr>
          <w:rFonts w:asciiTheme="majorBidi" w:hAnsiTheme="majorBidi" w:cstheme="majorBidi"/>
          <w:noProof/>
          <w:sz w:val="24"/>
          <w:szCs w:val="24"/>
        </w:rPr>
        <w:lastRenderedPageBreak/>
        <w:drawing>
          <wp:inline distT="0" distB="0" distL="0" distR="0">
            <wp:extent cx="5753100" cy="3419475"/>
            <wp:effectExtent l="19050" t="0" r="19050" b="0"/>
            <wp:docPr id="2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B039E8">
        <w:rPr>
          <w:rFonts w:asciiTheme="majorBidi" w:hAnsiTheme="majorBidi" w:cstheme="majorBidi"/>
          <w:b/>
          <w:bCs/>
          <w:sz w:val="24"/>
          <w:szCs w:val="24"/>
        </w:rPr>
        <w:t>Comparaison apport-solide apport liquide : (Saisonnière).</w:t>
      </w:r>
    </w:p>
    <w:p w:rsidR="00B039E8" w:rsidRPr="00B039E8" w:rsidRDefault="00B039E8" w:rsidP="00B039E8">
      <w:pPr>
        <w:tabs>
          <w:tab w:val="center" w:pos="9072"/>
        </w:tabs>
        <w:jc w:val="center"/>
        <w:rPr>
          <w:rFonts w:asciiTheme="majorBidi" w:hAnsiTheme="majorBidi" w:cstheme="majorBidi"/>
          <w:sz w:val="24"/>
          <w:szCs w:val="24"/>
        </w:rPr>
      </w:pPr>
    </w:p>
    <w:p w:rsidR="00B039E8" w:rsidRDefault="00B039E8" w:rsidP="00B039E8">
      <w:pPr>
        <w:spacing w:line="360" w:lineRule="auto"/>
        <w:rPr>
          <w:rFonts w:asciiTheme="majorBidi" w:hAnsiTheme="majorBidi" w:cstheme="majorBidi"/>
          <w:b/>
          <w:bCs/>
          <w:sz w:val="24"/>
          <w:szCs w:val="24"/>
        </w:rPr>
      </w:pPr>
    </w:p>
    <w:p w:rsidR="00B039E8" w:rsidRPr="00B039E8" w:rsidRDefault="001F62E5" w:rsidP="00B039E8">
      <w:pPr>
        <w:spacing w:line="360" w:lineRule="auto"/>
        <w:rPr>
          <w:rFonts w:asciiTheme="majorBidi" w:hAnsiTheme="majorBidi" w:cstheme="majorBidi"/>
          <w:b/>
          <w:bCs/>
          <w:sz w:val="24"/>
          <w:szCs w:val="24"/>
        </w:rPr>
      </w:pPr>
      <w:r w:rsidRPr="00AC533E">
        <w:rPr>
          <w:rFonts w:asciiTheme="majorBidi" w:eastAsiaTheme="majorEastAsia" w:hAnsiTheme="majorBidi" w:cstheme="majorBidi"/>
          <w:b/>
          <w:bCs/>
          <w:sz w:val="24"/>
          <w:szCs w:val="24"/>
        </w:rPr>
        <w:t>I</w:t>
      </w:r>
      <w:r>
        <w:rPr>
          <w:rFonts w:asciiTheme="majorBidi" w:eastAsiaTheme="majorEastAsia" w:hAnsiTheme="majorBidi" w:cstheme="majorBidi"/>
          <w:b/>
          <w:bCs/>
          <w:sz w:val="24"/>
          <w:szCs w:val="24"/>
        </w:rPr>
        <w:t>.</w:t>
      </w:r>
      <w:r w:rsidR="00B039E8" w:rsidRPr="00B039E8">
        <w:rPr>
          <w:rFonts w:asciiTheme="majorBidi" w:hAnsiTheme="majorBidi" w:cstheme="majorBidi"/>
          <w:b/>
          <w:bCs/>
          <w:sz w:val="24"/>
          <w:szCs w:val="24"/>
        </w:rPr>
        <w:t>V.6- Conclusion :</w:t>
      </w:r>
    </w:p>
    <w:p w:rsidR="00B039E8" w:rsidRPr="00B039E8" w:rsidRDefault="00B039E8" w:rsidP="00B039E8">
      <w:pPr>
        <w:spacing w:line="360" w:lineRule="auto"/>
        <w:rPr>
          <w:rFonts w:asciiTheme="majorBidi" w:hAnsiTheme="majorBidi" w:cstheme="majorBidi"/>
          <w:sz w:val="24"/>
          <w:szCs w:val="24"/>
        </w:rPr>
      </w:pPr>
      <w:r w:rsidRPr="00B039E8">
        <w:rPr>
          <w:rFonts w:asciiTheme="majorBidi" w:hAnsiTheme="majorBidi" w:cstheme="majorBidi"/>
          <w:sz w:val="24"/>
          <w:szCs w:val="24"/>
        </w:rPr>
        <w:t xml:space="preserve">        De part ce chapitre nous concluons que le modèle de puissance explique bien la variation des apports solides en suspension en fonction des apports liquide en citant As=a.A</w:t>
      </w:r>
      <w:r w:rsidR="00E86D81">
        <w:rPr>
          <w:rFonts w:asciiTheme="majorBidi" w:hAnsiTheme="majorBidi" w:cstheme="majorBidi"/>
          <w:sz w:val="24"/>
          <w:szCs w:val="24"/>
        </w:rPr>
        <w:t>l</w:t>
      </w:r>
      <w:r w:rsidRPr="00B039E8">
        <w:rPr>
          <w:rFonts w:asciiTheme="majorBidi" w:hAnsiTheme="majorBidi" w:cstheme="majorBidi"/>
          <w:sz w:val="24"/>
          <w:szCs w:val="24"/>
          <w:vertAlign w:val="superscript"/>
        </w:rPr>
        <w:t>b</w:t>
      </w:r>
      <w:r w:rsidRPr="00B039E8">
        <w:rPr>
          <w:rFonts w:asciiTheme="majorBidi" w:hAnsiTheme="majorBidi" w:cstheme="majorBidi"/>
          <w:sz w:val="24"/>
          <w:szCs w:val="24"/>
        </w:rPr>
        <w:t>.</w:t>
      </w:r>
    </w:p>
    <w:p w:rsidR="00B039E8" w:rsidRPr="00B039E8" w:rsidRDefault="00B039E8" w:rsidP="00B039E8">
      <w:pPr>
        <w:spacing w:line="360" w:lineRule="auto"/>
        <w:rPr>
          <w:rFonts w:asciiTheme="majorBidi" w:hAnsiTheme="majorBidi" w:cstheme="majorBidi"/>
          <w:sz w:val="24"/>
          <w:szCs w:val="24"/>
        </w:rPr>
      </w:pPr>
      <w:r w:rsidRPr="00B039E8">
        <w:rPr>
          <w:rFonts w:asciiTheme="majorBidi" w:hAnsiTheme="majorBidi" w:cstheme="majorBidi"/>
          <w:sz w:val="24"/>
          <w:szCs w:val="24"/>
        </w:rPr>
        <w:t>Les modèles mensuels ont donné des résultats plus précis que ceux des modèles annuels car elle est plus détaillée que l’annuelle.</w:t>
      </w:r>
    </w:p>
    <w:p w:rsidR="00B039E8" w:rsidRPr="00B039E8" w:rsidRDefault="00B039E8" w:rsidP="00B039E8">
      <w:pPr>
        <w:spacing w:line="360" w:lineRule="auto"/>
        <w:rPr>
          <w:rFonts w:asciiTheme="majorBidi" w:hAnsiTheme="majorBidi" w:cstheme="majorBidi"/>
          <w:sz w:val="24"/>
          <w:szCs w:val="24"/>
        </w:rPr>
      </w:pPr>
      <w:r w:rsidRPr="00B039E8">
        <w:rPr>
          <w:rFonts w:asciiTheme="majorBidi" w:hAnsiTheme="majorBidi" w:cstheme="majorBidi"/>
          <w:sz w:val="24"/>
          <w:szCs w:val="24"/>
        </w:rPr>
        <w:t>Le facteur b explique plutôt l’influence de l’écoulement ou l’état hydrologique du bassin, le facteur a exprimerait l’état du sol.(Bouannani.2004).</w:t>
      </w:r>
    </w:p>
    <w:p w:rsidR="00B039E8" w:rsidRPr="00B039E8" w:rsidRDefault="00B039E8" w:rsidP="00B039E8">
      <w:pPr>
        <w:spacing w:line="360" w:lineRule="auto"/>
        <w:rPr>
          <w:rFonts w:asciiTheme="majorBidi" w:hAnsiTheme="majorBidi" w:cstheme="majorBidi"/>
          <w:sz w:val="24"/>
          <w:szCs w:val="24"/>
        </w:rPr>
      </w:pPr>
      <w:r w:rsidRPr="00B039E8">
        <w:rPr>
          <w:rFonts w:asciiTheme="majorBidi" w:hAnsiTheme="majorBidi" w:cstheme="majorBidi"/>
          <w:sz w:val="24"/>
          <w:szCs w:val="24"/>
        </w:rPr>
        <w:t xml:space="preserve">       Les résultats obtenus à partir des données de turbidité disponibles et la modélisation apports liquide-solide ont permis d’avoir des valeurs proches. Les formules empiriques donnent des résultats plus différents et loin de la réalité. Ce qui montre que la modélisation apport liquide-</w:t>
      </w:r>
      <w:r w:rsidR="00257A11">
        <w:rPr>
          <w:rFonts w:asciiTheme="majorBidi" w:hAnsiTheme="majorBidi" w:cstheme="majorBidi"/>
          <w:sz w:val="24"/>
          <w:szCs w:val="24"/>
        </w:rPr>
        <w:t>1</w:t>
      </w:r>
      <w:r w:rsidRPr="00B039E8">
        <w:rPr>
          <w:rFonts w:asciiTheme="majorBidi" w:hAnsiTheme="majorBidi" w:cstheme="majorBidi"/>
          <w:sz w:val="24"/>
          <w:szCs w:val="24"/>
        </w:rPr>
        <w:t xml:space="preserve">solide est plus efficace et donne des résultats proches de la réalité qui nous permet de combler les lacunes et une bonne estimation.  </w:t>
      </w:r>
    </w:p>
    <w:p w:rsidR="008C3239" w:rsidRDefault="008C3239" w:rsidP="00185C42"/>
    <w:sectPr w:rsidR="008C3239" w:rsidSect="000F7F31">
      <w:headerReference w:type="default" r:id="rId23"/>
      <w:footerReference w:type="default" r:id="rId24"/>
      <w:pgSz w:w="11906" w:h="16838"/>
      <w:pgMar w:top="1134" w:right="1134" w:bottom="1134" w:left="1418"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0F45" w:rsidRDefault="00EC0F45" w:rsidP="00C418B9">
      <w:pPr>
        <w:spacing w:after="0" w:line="240" w:lineRule="auto"/>
      </w:pPr>
      <w:r>
        <w:separator/>
      </w:r>
    </w:p>
  </w:endnote>
  <w:endnote w:type="continuationSeparator" w:id="1">
    <w:p w:rsidR="00EC0F45" w:rsidRDefault="00EC0F45" w:rsidP="00C418B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80159"/>
      <w:docPartObj>
        <w:docPartGallery w:val="Page Numbers (Bottom of Page)"/>
        <w:docPartUnique/>
      </w:docPartObj>
    </w:sdtPr>
    <w:sdtContent>
      <w:p w:rsidR="00114CCA" w:rsidRDefault="00114CCA">
        <w:pPr>
          <w:pStyle w:val="Pieddepage"/>
          <w:jc w:val="center"/>
        </w:pPr>
        <w:fldSimple w:instr=" PAGE   \* MERGEFORMAT ">
          <w:r w:rsidR="005848E1">
            <w:rPr>
              <w:noProof/>
            </w:rPr>
            <w:t>11</w:t>
          </w:r>
        </w:fldSimple>
      </w:p>
    </w:sdtContent>
  </w:sdt>
  <w:p w:rsidR="00114CCA" w:rsidRDefault="00114CCA">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0F45" w:rsidRDefault="00EC0F45" w:rsidP="00C418B9">
      <w:pPr>
        <w:spacing w:after="0" w:line="240" w:lineRule="auto"/>
      </w:pPr>
      <w:r>
        <w:separator/>
      </w:r>
    </w:p>
  </w:footnote>
  <w:footnote w:type="continuationSeparator" w:id="1">
    <w:p w:rsidR="00EC0F45" w:rsidRDefault="00EC0F45" w:rsidP="00C418B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color w:val="auto"/>
        <w:sz w:val="32"/>
        <w:szCs w:val="32"/>
      </w:rPr>
      <w:alias w:val="Titre"/>
      <w:id w:val="77738743"/>
      <w:dataBinding w:prefixMappings="xmlns:ns0='http://schemas.openxmlformats.org/package/2006/metadata/core-properties' xmlns:ns1='http://purl.org/dc/elements/1.1/'" w:xpath="/ns0:coreProperties[1]/ns1:title[1]" w:storeItemID="{6C3C8BC8-F283-45AE-878A-BAB7291924A1}"/>
      <w:text/>
    </w:sdtPr>
    <w:sdtContent>
      <w:p w:rsidR="00114CCA" w:rsidRPr="00C418B9" w:rsidRDefault="00114CCA" w:rsidP="00C418B9">
        <w:pPr>
          <w:pStyle w:val="Citationintense"/>
          <w:rPr>
            <w:rFonts w:asciiTheme="majorBidi" w:eastAsiaTheme="majorEastAsia" w:hAnsiTheme="majorBidi" w:cstheme="majorBidi"/>
            <w:color w:val="auto"/>
            <w:sz w:val="28"/>
            <w:szCs w:val="28"/>
          </w:rPr>
        </w:pPr>
        <w:r w:rsidRPr="00C418B9">
          <w:rPr>
            <w:rFonts w:asciiTheme="majorBidi" w:eastAsiaTheme="majorEastAsia" w:hAnsiTheme="majorBidi" w:cstheme="majorBidi"/>
            <w:color w:val="auto"/>
            <w:sz w:val="32"/>
            <w:szCs w:val="32"/>
          </w:rPr>
          <w:t>Chapitre I :                                             donnés générale</w:t>
        </w:r>
      </w:p>
    </w:sdtContent>
  </w:sdt>
  <w:p w:rsidR="00114CCA" w:rsidRDefault="00114CCA">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4A3498"/>
    <w:multiLevelType w:val="hybridMultilevel"/>
    <w:tmpl w:val="E3DC2348"/>
    <w:lvl w:ilvl="0" w:tplc="B016D5CE">
      <w:start w:val="1"/>
      <w:numFmt w:val="upperRoman"/>
      <w:lvlText w:val="%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59AE2A78"/>
    <w:multiLevelType w:val="hybridMultilevel"/>
    <w:tmpl w:val="4B02E224"/>
    <w:lvl w:ilvl="0" w:tplc="440A8AEA">
      <w:start w:val="2"/>
      <w:numFmt w:val="bullet"/>
      <w:lvlText w:val=""/>
      <w:lvlJc w:val="left"/>
      <w:pPr>
        <w:ind w:left="585" w:hanging="360"/>
      </w:pPr>
      <w:rPr>
        <w:rFonts w:ascii="Symbol" w:eastAsiaTheme="minorEastAsia" w:hAnsi="Symbol" w:cstheme="majorBidi" w:hint="default"/>
        <w:sz w:val="32"/>
        <w:szCs w:val="32"/>
      </w:rPr>
    </w:lvl>
    <w:lvl w:ilvl="1" w:tplc="040C0003" w:tentative="1">
      <w:start w:val="1"/>
      <w:numFmt w:val="bullet"/>
      <w:lvlText w:val="o"/>
      <w:lvlJc w:val="left"/>
      <w:pPr>
        <w:ind w:left="1305" w:hanging="360"/>
      </w:pPr>
      <w:rPr>
        <w:rFonts w:ascii="Courier New" w:hAnsi="Courier New" w:cs="Courier New" w:hint="default"/>
      </w:rPr>
    </w:lvl>
    <w:lvl w:ilvl="2" w:tplc="040C0005" w:tentative="1">
      <w:start w:val="1"/>
      <w:numFmt w:val="bullet"/>
      <w:lvlText w:val=""/>
      <w:lvlJc w:val="left"/>
      <w:pPr>
        <w:ind w:left="2025" w:hanging="360"/>
      </w:pPr>
      <w:rPr>
        <w:rFonts w:ascii="Wingdings" w:hAnsi="Wingdings" w:hint="default"/>
      </w:rPr>
    </w:lvl>
    <w:lvl w:ilvl="3" w:tplc="040C0001" w:tentative="1">
      <w:start w:val="1"/>
      <w:numFmt w:val="bullet"/>
      <w:lvlText w:val=""/>
      <w:lvlJc w:val="left"/>
      <w:pPr>
        <w:ind w:left="2745" w:hanging="360"/>
      </w:pPr>
      <w:rPr>
        <w:rFonts w:ascii="Symbol" w:hAnsi="Symbol" w:hint="default"/>
      </w:rPr>
    </w:lvl>
    <w:lvl w:ilvl="4" w:tplc="040C0003" w:tentative="1">
      <w:start w:val="1"/>
      <w:numFmt w:val="bullet"/>
      <w:lvlText w:val="o"/>
      <w:lvlJc w:val="left"/>
      <w:pPr>
        <w:ind w:left="3465" w:hanging="360"/>
      </w:pPr>
      <w:rPr>
        <w:rFonts w:ascii="Courier New" w:hAnsi="Courier New" w:cs="Courier New" w:hint="default"/>
      </w:rPr>
    </w:lvl>
    <w:lvl w:ilvl="5" w:tplc="040C0005" w:tentative="1">
      <w:start w:val="1"/>
      <w:numFmt w:val="bullet"/>
      <w:lvlText w:val=""/>
      <w:lvlJc w:val="left"/>
      <w:pPr>
        <w:ind w:left="4185" w:hanging="360"/>
      </w:pPr>
      <w:rPr>
        <w:rFonts w:ascii="Wingdings" w:hAnsi="Wingdings" w:hint="default"/>
      </w:rPr>
    </w:lvl>
    <w:lvl w:ilvl="6" w:tplc="040C0001" w:tentative="1">
      <w:start w:val="1"/>
      <w:numFmt w:val="bullet"/>
      <w:lvlText w:val=""/>
      <w:lvlJc w:val="left"/>
      <w:pPr>
        <w:ind w:left="4905" w:hanging="360"/>
      </w:pPr>
      <w:rPr>
        <w:rFonts w:ascii="Symbol" w:hAnsi="Symbol" w:hint="default"/>
      </w:rPr>
    </w:lvl>
    <w:lvl w:ilvl="7" w:tplc="040C0003" w:tentative="1">
      <w:start w:val="1"/>
      <w:numFmt w:val="bullet"/>
      <w:lvlText w:val="o"/>
      <w:lvlJc w:val="left"/>
      <w:pPr>
        <w:ind w:left="5625" w:hanging="360"/>
      </w:pPr>
      <w:rPr>
        <w:rFonts w:ascii="Courier New" w:hAnsi="Courier New" w:cs="Courier New" w:hint="default"/>
      </w:rPr>
    </w:lvl>
    <w:lvl w:ilvl="8" w:tplc="040C0005" w:tentative="1">
      <w:start w:val="1"/>
      <w:numFmt w:val="bullet"/>
      <w:lvlText w:val=""/>
      <w:lvlJc w:val="left"/>
      <w:pPr>
        <w:ind w:left="6345" w:hanging="360"/>
      </w:pPr>
      <w:rPr>
        <w:rFonts w:ascii="Wingdings" w:hAnsi="Wingdings" w:hint="default"/>
      </w:rPr>
    </w:lvl>
  </w:abstractNum>
  <w:abstractNum w:abstractNumId="2">
    <w:nsid w:val="6FC82BC8"/>
    <w:multiLevelType w:val="hybridMultilevel"/>
    <w:tmpl w:val="88F0C2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C418B9"/>
    <w:rsid w:val="000C5322"/>
    <w:rsid w:val="000F7F31"/>
    <w:rsid w:val="00114CCA"/>
    <w:rsid w:val="001249FC"/>
    <w:rsid w:val="00152C7F"/>
    <w:rsid w:val="00185C42"/>
    <w:rsid w:val="001A1BEA"/>
    <w:rsid w:val="001F045D"/>
    <w:rsid w:val="001F62E5"/>
    <w:rsid w:val="00247615"/>
    <w:rsid w:val="00257A11"/>
    <w:rsid w:val="00257DFF"/>
    <w:rsid w:val="002602C6"/>
    <w:rsid w:val="002F15C9"/>
    <w:rsid w:val="00373D91"/>
    <w:rsid w:val="003814A2"/>
    <w:rsid w:val="00386674"/>
    <w:rsid w:val="00415EEC"/>
    <w:rsid w:val="004B33CF"/>
    <w:rsid w:val="00525311"/>
    <w:rsid w:val="005677D2"/>
    <w:rsid w:val="005848E1"/>
    <w:rsid w:val="005A58B7"/>
    <w:rsid w:val="005F6E40"/>
    <w:rsid w:val="00614493"/>
    <w:rsid w:val="006A69A8"/>
    <w:rsid w:val="007064FC"/>
    <w:rsid w:val="007C4A9B"/>
    <w:rsid w:val="007D2C4D"/>
    <w:rsid w:val="00817736"/>
    <w:rsid w:val="00831E0D"/>
    <w:rsid w:val="008A4F90"/>
    <w:rsid w:val="008C3239"/>
    <w:rsid w:val="009E3D45"/>
    <w:rsid w:val="00A24F9C"/>
    <w:rsid w:val="00AC533E"/>
    <w:rsid w:val="00B039E8"/>
    <w:rsid w:val="00B26140"/>
    <w:rsid w:val="00C418B9"/>
    <w:rsid w:val="00CA1B80"/>
    <w:rsid w:val="00CB1097"/>
    <w:rsid w:val="00D0202D"/>
    <w:rsid w:val="00D6002E"/>
    <w:rsid w:val="00DC4581"/>
    <w:rsid w:val="00E16E73"/>
    <w:rsid w:val="00E86D81"/>
    <w:rsid w:val="00EC0F45"/>
    <w:rsid w:val="00EF50D5"/>
    <w:rsid w:val="00F85770"/>
    <w:rsid w:val="00F942ED"/>
    <w:rsid w:val="00FA4CE8"/>
    <w:rsid w:val="00FE5EFA"/>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64FC"/>
  </w:style>
  <w:style w:type="paragraph" w:styleId="Titre2">
    <w:name w:val="heading 2"/>
    <w:basedOn w:val="Normal"/>
    <w:next w:val="Normal"/>
    <w:link w:val="Titre2Car"/>
    <w:uiPriority w:val="9"/>
    <w:unhideWhenUsed/>
    <w:qFormat/>
    <w:rsid w:val="00B039E8"/>
    <w:pPr>
      <w:keepNext/>
      <w:keepLines/>
      <w:tabs>
        <w:tab w:val="left" w:pos="2160"/>
        <w:tab w:val="center" w:pos="4536"/>
      </w:tabs>
      <w:autoSpaceDE w:val="0"/>
      <w:autoSpaceDN w:val="0"/>
      <w:adjustRightInd w:val="0"/>
      <w:spacing w:before="200" w:after="0" w:line="360" w:lineRule="auto"/>
      <w:jc w:val="both"/>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418B9"/>
    <w:pPr>
      <w:tabs>
        <w:tab w:val="center" w:pos="4153"/>
        <w:tab w:val="right" w:pos="8306"/>
      </w:tabs>
      <w:spacing w:after="0" w:line="240" w:lineRule="auto"/>
    </w:pPr>
  </w:style>
  <w:style w:type="character" w:customStyle="1" w:styleId="En-tteCar">
    <w:name w:val="En-tête Car"/>
    <w:basedOn w:val="Policepardfaut"/>
    <w:link w:val="En-tte"/>
    <w:uiPriority w:val="99"/>
    <w:rsid w:val="00C418B9"/>
  </w:style>
  <w:style w:type="paragraph" w:styleId="Pieddepage">
    <w:name w:val="footer"/>
    <w:basedOn w:val="Normal"/>
    <w:link w:val="PieddepageCar"/>
    <w:uiPriority w:val="99"/>
    <w:unhideWhenUsed/>
    <w:rsid w:val="00C418B9"/>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C418B9"/>
  </w:style>
  <w:style w:type="paragraph" w:styleId="Textedebulles">
    <w:name w:val="Balloon Text"/>
    <w:basedOn w:val="Normal"/>
    <w:link w:val="TextedebullesCar"/>
    <w:uiPriority w:val="99"/>
    <w:semiHidden/>
    <w:unhideWhenUsed/>
    <w:rsid w:val="00C418B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418B9"/>
    <w:rPr>
      <w:rFonts w:ascii="Tahoma" w:hAnsi="Tahoma" w:cs="Tahoma"/>
      <w:sz w:val="16"/>
      <w:szCs w:val="16"/>
    </w:rPr>
  </w:style>
  <w:style w:type="paragraph" w:styleId="Citationintense">
    <w:name w:val="Intense Quote"/>
    <w:basedOn w:val="Normal"/>
    <w:next w:val="Normal"/>
    <w:link w:val="CitationintenseCar"/>
    <w:uiPriority w:val="30"/>
    <w:qFormat/>
    <w:rsid w:val="00C418B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C418B9"/>
    <w:rPr>
      <w:b/>
      <w:bCs/>
      <w:i/>
      <w:iCs/>
      <w:color w:val="4F81BD" w:themeColor="accent1"/>
    </w:rPr>
  </w:style>
  <w:style w:type="paragraph" w:styleId="Sansinterligne">
    <w:name w:val="No Spacing"/>
    <w:link w:val="SansinterligneCar"/>
    <w:uiPriority w:val="1"/>
    <w:qFormat/>
    <w:rsid w:val="00C418B9"/>
    <w:pPr>
      <w:spacing w:after="0" w:line="240" w:lineRule="auto"/>
    </w:pPr>
    <w:rPr>
      <w:lang w:eastAsia="en-US"/>
    </w:rPr>
  </w:style>
  <w:style w:type="character" w:customStyle="1" w:styleId="SansinterligneCar">
    <w:name w:val="Sans interligne Car"/>
    <w:basedOn w:val="Policepardfaut"/>
    <w:link w:val="Sansinterligne"/>
    <w:uiPriority w:val="1"/>
    <w:rsid w:val="00C418B9"/>
    <w:rPr>
      <w:lang w:eastAsia="en-US"/>
    </w:rPr>
  </w:style>
  <w:style w:type="table" w:styleId="Grilledutableau">
    <w:name w:val="Table Grid"/>
    <w:basedOn w:val="TableauNormal"/>
    <w:uiPriority w:val="59"/>
    <w:rsid w:val="00C418B9"/>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phedeliste">
    <w:name w:val="List Paragraph"/>
    <w:basedOn w:val="Normal"/>
    <w:uiPriority w:val="34"/>
    <w:qFormat/>
    <w:rsid w:val="00C418B9"/>
    <w:pPr>
      <w:ind w:left="720"/>
      <w:contextualSpacing/>
    </w:pPr>
  </w:style>
  <w:style w:type="paragraph" w:customStyle="1" w:styleId="Default">
    <w:name w:val="Default"/>
    <w:rsid w:val="00C418B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itre2Car">
    <w:name w:val="Titre 2 Car"/>
    <w:basedOn w:val="Policepardfaut"/>
    <w:link w:val="Titre2"/>
    <w:uiPriority w:val="9"/>
    <w:rsid w:val="00B039E8"/>
    <w:rPr>
      <w:rFonts w:asciiTheme="majorHAnsi" w:eastAsiaTheme="majorEastAsia" w:hAnsiTheme="majorHAnsi" w:cstheme="majorBidi"/>
      <w:b/>
      <w:bCs/>
      <w:color w:val="4F81BD" w:themeColor="accent1"/>
      <w:sz w:val="26"/>
      <w:szCs w:val="26"/>
    </w:rPr>
  </w:style>
  <w:style w:type="character" w:customStyle="1" w:styleId="shorttext">
    <w:name w:val="short_text"/>
    <w:basedOn w:val="Policepardfaut"/>
    <w:rsid w:val="00AC533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E:\mmm\MEMOIRE\CLIMATOLOGIE\P%20AN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mmm\MEMOIRE\CLIMATOLOGIE\Classeur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mmm\MEMOIRE\CLIMATOLOGIE\Classeur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mmm\MEMOIRE\T%20S\061502ts.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mmm\MEMOIRE\T%20S\0615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7.8403146133745424E-2"/>
          <c:y val="2.4012856926415051E-2"/>
          <c:w val="0.91498163887176731"/>
          <c:h val="0.77843428439350959"/>
        </c:manualLayout>
      </c:layout>
      <c:barChart>
        <c:barDir val="col"/>
        <c:grouping val="stacked"/>
        <c:ser>
          <c:idx val="0"/>
          <c:order val="0"/>
          <c:tx>
            <c:strRef>
              <c:f>Feuil1!$C$8</c:f>
              <c:strCache>
                <c:ptCount val="1"/>
                <c:pt idx="0">
                  <c:v>F,Gherza</c:v>
                </c:pt>
              </c:strCache>
            </c:strRef>
          </c:tx>
          <c:cat>
            <c:numRef>
              <c:f>Feuil1!$B$9:$B$42</c:f>
              <c:numCache>
                <c:formatCode>General</c:formatCod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numCache>
            </c:numRef>
          </c:cat>
          <c:val>
            <c:numRef>
              <c:f>Feuil1!$C$9:$C$42</c:f>
              <c:numCache>
                <c:formatCode>General</c:formatCode>
                <c:ptCount val="34"/>
                <c:pt idx="0">
                  <c:v>147.30000000000001</c:v>
                </c:pt>
                <c:pt idx="1">
                  <c:v>258.60000000000002</c:v>
                </c:pt>
                <c:pt idx="2">
                  <c:v>51.5</c:v>
                </c:pt>
                <c:pt idx="3">
                  <c:v>36.5</c:v>
                </c:pt>
                <c:pt idx="4">
                  <c:v>106</c:v>
                </c:pt>
                <c:pt idx="5">
                  <c:v>114</c:v>
                </c:pt>
                <c:pt idx="6">
                  <c:v>81.3</c:v>
                </c:pt>
                <c:pt idx="7">
                  <c:v>153.80000000000001</c:v>
                </c:pt>
                <c:pt idx="8">
                  <c:v>40.800000000000004</c:v>
                </c:pt>
                <c:pt idx="9">
                  <c:v>138</c:v>
                </c:pt>
                <c:pt idx="10">
                  <c:v>119</c:v>
                </c:pt>
                <c:pt idx="11">
                  <c:v>100</c:v>
                </c:pt>
                <c:pt idx="12">
                  <c:v>50</c:v>
                </c:pt>
                <c:pt idx="13">
                  <c:v>114.33</c:v>
                </c:pt>
                <c:pt idx="14">
                  <c:v>215.8</c:v>
                </c:pt>
                <c:pt idx="15">
                  <c:v>91.01</c:v>
                </c:pt>
                <c:pt idx="16">
                  <c:v>131.19999999999999</c:v>
                </c:pt>
                <c:pt idx="17">
                  <c:v>110.2</c:v>
                </c:pt>
                <c:pt idx="18">
                  <c:v>81.2</c:v>
                </c:pt>
                <c:pt idx="19">
                  <c:v>107.8</c:v>
                </c:pt>
                <c:pt idx="20">
                  <c:v>164.3</c:v>
                </c:pt>
                <c:pt idx="21">
                  <c:v>79.599999999999994</c:v>
                </c:pt>
                <c:pt idx="22">
                  <c:v>159.97999999999999</c:v>
                </c:pt>
                <c:pt idx="23">
                  <c:v>107.7</c:v>
                </c:pt>
                <c:pt idx="24">
                  <c:v>109.9</c:v>
                </c:pt>
                <c:pt idx="25">
                  <c:v>40.42</c:v>
                </c:pt>
                <c:pt idx="26">
                  <c:v>60</c:v>
                </c:pt>
                <c:pt idx="27">
                  <c:v>152.69999999999999</c:v>
                </c:pt>
                <c:pt idx="28">
                  <c:v>257</c:v>
                </c:pt>
                <c:pt idx="29">
                  <c:v>125.4</c:v>
                </c:pt>
              </c:numCache>
            </c:numRef>
          </c:val>
        </c:ser>
        <c:ser>
          <c:idx val="1"/>
          <c:order val="1"/>
          <c:tx>
            <c:strRef>
              <c:f>Feuil1!$D$8</c:f>
              <c:strCache>
                <c:ptCount val="1"/>
                <c:pt idx="0">
                  <c:v>T'KOUT</c:v>
                </c:pt>
              </c:strCache>
            </c:strRef>
          </c:tx>
          <c:cat>
            <c:numRef>
              <c:f>Feuil1!$B$9:$B$42</c:f>
              <c:numCache>
                <c:formatCode>General</c:formatCod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numCache>
            </c:numRef>
          </c:cat>
          <c:val>
            <c:numRef>
              <c:f>Feuil1!$D$9:$D$42</c:f>
              <c:numCache>
                <c:formatCode>General</c:formatCode>
                <c:ptCount val="34"/>
                <c:pt idx="0">
                  <c:v>101</c:v>
                </c:pt>
                <c:pt idx="1">
                  <c:v>121</c:v>
                </c:pt>
                <c:pt idx="2">
                  <c:v>209</c:v>
                </c:pt>
                <c:pt idx="3">
                  <c:v>52</c:v>
                </c:pt>
                <c:pt idx="4">
                  <c:v>44</c:v>
                </c:pt>
                <c:pt idx="5">
                  <c:v>222</c:v>
                </c:pt>
                <c:pt idx="6">
                  <c:v>522</c:v>
                </c:pt>
                <c:pt idx="7">
                  <c:v>177</c:v>
                </c:pt>
                <c:pt idx="8">
                  <c:v>172</c:v>
                </c:pt>
                <c:pt idx="9">
                  <c:v>330</c:v>
                </c:pt>
                <c:pt idx="10">
                  <c:v>290</c:v>
                </c:pt>
                <c:pt idx="11">
                  <c:v>170</c:v>
                </c:pt>
                <c:pt idx="12">
                  <c:v>156</c:v>
                </c:pt>
                <c:pt idx="13">
                  <c:v>10</c:v>
                </c:pt>
                <c:pt idx="14">
                  <c:v>278</c:v>
                </c:pt>
                <c:pt idx="15">
                  <c:v>287</c:v>
                </c:pt>
                <c:pt idx="16">
                  <c:v>209</c:v>
                </c:pt>
                <c:pt idx="17">
                  <c:v>215</c:v>
                </c:pt>
                <c:pt idx="18">
                  <c:v>356</c:v>
                </c:pt>
                <c:pt idx="19">
                  <c:v>382</c:v>
                </c:pt>
                <c:pt idx="20">
                  <c:v>208</c:v>
                </c:pt>
                <c:pt idx="21">
                  <c:v>294</c:v>
                </c:pt>
                <c:pt idx="22">
                  <c:v>268</c:v>
                </c:pt>
                <c:pt idx="23">
                  <c:v>165</c:v>
                </c:pt>
                <c:pt idx="24">
                  <c:v>263</c:v>
                </c:pt>
                <c:pt idx="25">
                  <c:v>552</c:v>
                </c:pt>
                <c:pt idx="26">
                  <c:v>98</c:v>
                </c:pt>
                <c:pt idx="27">
                  <c:v>304</c:v>
                </c:pt>
                <c:pt idx="28">
                  <c:v>149</c:v>
                </c:pt>
                <c:pt idx="29">
                  <c:v>237</c:v>
                </c:pt>
                <c:pt idx="30">
                  <c:v>134</c:v>
                </c:pt>
              </c:numCache>
            </c:numRef>
          </c:val>
        </c:ser>
        <c:ser>
          <c:idx val="2"/>
          <c:order val="2"/>
          <c:tx>
            <c:strRef>
              <c:f>Feuil1!$E$8</c:f>
              <c:strCache>
                <c:ptCount val="1"/>
                <c:pt idx="0">
                  <c:v>Tifelfel</c:v>
                </c:pt>
              </c:strCache>
            </c:strRef>
          </c:tx>
          <c:cat>
            <c:numRef>
              <c:f>Feuil1!$B$9:$B$42</c:f>
              <c:numCache>
                <c:formatCode>General</c:formatCod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numCache>
            </c:numRef>
          </c:cat>
          <c:val>
            <c:numRef>
              <c:f>Feuil1!$E$9:$E$42</c:f>
              <c:numCache>
                <c:formatCode>General</c:formatCode>
                <c:ptCount val="34"/>
                <c:pt idx="0">
                  <c:v>133</c:v>
                </c:pt>
                <c:pt idx="1">
                  <c:v>109</c:v>
                </c:pt>
                <c:pt idx="2">
                  <c:v>190</c:v>
                </c:pt>
                <c:pt idx="3">
                  <c:v>238</c:v>
                </c:pt>
                <c:pt idx="4">
                  <c:v>209</c:v>
                </c:pt>
                <c:pt idx="5">
                  <c:v>82</c:v>
                </c:pt>
                <c:pt idx="6">
                  <c:v>206</c:v>
                </c:pt>
                <c:pt idx="7">
                  <c:v>164</c:v>
                </c:pt>
                <c:pt idx="8">
                  <c:v>97</c:v>
                </c:pt>
                <c:pt idx="9">
                  <c:v>130</c:v>
                </c:pt>
                <c:pt idx="10">
                  <c:v>69</c:v>
                </c:pt>
                <c:pt idx="11">
                  <c:v>154</c:v>
                </c:pt>
                <c:pt idx="12">
                  <c:v>80</c:v>
                </c:pt>
                <c:pt idx="13">
                  <c:v>48</c:v>
                </c:pt>
                <c:pt idx="14">
                  <c:v>132</c:v>
                </c:pt>
                <c:pt idx="15">
                  <c:v>133</c:v>
                </c:pt>
                <c:pt idx="16">
                  <c:v>259</c:v>
                </c:pt>
                <c:pt idx="17">
                  <c:v>104</c:v>
                </c:pt>
              </c:numCache>
            </c:numRef>
          </c:val>
        </c:ser>
        <c:ser>
          <c:idx val="3"/>
          <c:order val="3"/>
          <c:tx>
            <c:strRef>
              <c:f>Feuil1!$F$8</c:f>
              <c:strCache>
                <c:ptCount val="1"/>
                <c:pt idx="0">
                  <c:v>Medina</c:v>
                </c:pt>
              </c:strCache>
            </c:strRef>
          </c:tx>
          <c:cat>
            <c:numRef>
              <c:f>Feuil1!$B$9:$B$42</c:f>
              <c:numCache>
                <c:formatCode>General</c:formatCod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numCache>
            </c:numRef>
          </c:cat>
          <c:val>
            <c:numRef>
              <c:f>Feuil1!$F$9:$F$42</c:f>
              <c:numCache>
                <c:formatCode>General</c:formatCode>
                <c:ptCount val="34"/>
                <c:pt idx="0">
                  <c:v>527.4</c:v>
                </c:pt>
                <c:pt idx="1">
                  <c:v>523.6</c:v>
                </c:pt>
                <c:pt idx="2">
                  <c:v>244.6</c:v>
                </c:pt>
                <c:pt idx="3">
                  <c:v>482.9</c:v>
                </c:pt>
                <c:pt idx="4">
                  <c:v>658.7</c:v>
                </c:pt>
                <c:pt idx="5">
                  <c:v>331.7</c:v>
                </c:pt>
                <c:pt idx="6">
                  <c:v>388.6</c:v>
                </c:pt>
                <c:pt idx="7">
                  <c:v>546.4</c:v>
                </c:pt>
                <c:pt idx="8">
                  <c:v>521.29999999999995</c:v>
                </c:pt>
                <c:pt idx="9">
                  <c:v>345.2</c:v>
                </c:pt>
                <c:pt idx="10">
                  <c:v>280.39999999999969</c:v>
                </c:pt>
                <c:pt idx="11">
                  <c:v>373.6</c:v>
                </c:pt>
                <c:pt idx="12">
                  <c:v>517.20000000000005</c:v>
                </c:pt>
                <c:pt idx="13">
                  <c:v>465.3</c:v>
                </c:pt>
                <c:pt idx="14">
                  <c:v>380.1</c:v>
                </c:pt>
                <c:pt idx="15">
                  <c:v>236.4</c:v>
                </c:pt>
                <c:pt idx="16">
                  <c:v>434.2</c:v>
                </c:pt>
                <c:pt idx="17">
                  <c:v>512.4</c:v>
                </c:pt>
                <c:pt idx="18">
                  <c:v>420</c:v>
                </c:pt>
                <c:pt idx="19">
                  <c:v>251.3</c:v>
                </c:pt>
                <c:pt idx="20">
                  <c:v>537.1</c:v>
                </c:pt>
                <c:pt idx="21">
                  <c:v>527.20000000000005</c:v>
                </c:pt>
                <c:pt idx="22">
                  <c:v>318.7</c:v>
                </c:pt>
                <c:pt idx="23">
                  <c:v>483.3</c:v>
                </c:pt>
                <c:pt idx="24">
                  <c:v>360.9</c:v>
                </c:pt>
                <c:pt idx="25">
                  <c:v>251.6</c:v>
                </c:pt>
                <c:pt idx="26">
                  <c:v>347.1</c:v>
                </c:pt>
                <c:pt idx="27">
                  <c:v>487.7</c:v>
                </c:pt>
                <c:pt idx="28">
                  <c:v>225.1</c:v>
                </c:pt>
                <c:pt idx="29">
                  <c:v>540.70000000000005</c:v>
                </c:pt>
                <c:pt idx="30">
                  <c:v>316.60000000000002</c:v>
                </c:pt>
                <c:pt idx="31">
                  <c:v>348.7</c:v>
                </c:pt>
                <c:pt idx="32">
                  <c:v>252</c:v>
                </c:pt>
                <c:pt idx="33">
                  <c:v>254.4</c:v>
                </c:pt>
              </c:numCache>
            </c:numRef>
          </c:val>
        </c:ser>
        <c:ser>
          <c:idx val="4"/>
          <c:order val="4"/>
          <c:tx>
            <c:strRef>
              <c:f>Feuil1!$G$8</c:f>
              <c:strCache>
                <c:ptCount val="1"/>
                <c:pt idx="0">
                  <c:v>M'chouneche</c:v>
                </c:pt>
              </c:strCache>
            </c:strRef>
          </c:tx>
          <c:cat>
            <c:numRef>
              <c:f>Feuil1!$B$9:$B$42</c:f>
              <c:numCache>
                <c:formatCode>General</c:formatCod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numCache>
            </c:numRef>
          </c:cat>
          <c:val>
            <c:numRef>
              <c:f>Feuil1!$G$9:$G$42</c:f>
              <c:numCache>
                <c:formatCode>General</c:formatCode>
                <c:ptCount val="34"/>
                <c:pt idx="0">
                  <c:v>102.7</c:v>
                </c:pt>
                <c:pt idx="1">
                  <c:v>39.6</c:v>
                </c:pt>
                <c:pt idx="2">
                  <c:v>78.099999999999994</c:v>
                </c:pt>
                <c:pt idx="3">
                  <c:v>175.4</c:v>
                </c:pt>
                <c:pt idx="4">
                  <c:v>41.6</c:v>
                </c:pt>
                <c:pt idx="5">
                  <c:v>3.2</c:v>
                </c:pt>
                <c:pt idx="6">
                  <c:v>18.5</c:v>
                </c:pt>
                <c:pt idx="7">
                  <c:v>98.9</c:v>
                </c:pt>
                <c:pt idx="8">
                  <c:v>134.30000000000001</c:v>
                </c:pt>
                <c:pt idx="9">
                  <c:v>164.6</c:v>
                </c:pt>
                <c:pt idx="10">
                  <c:v>213.13</c:v>
                </c:pt>
                <c:pt idx="11">
                  <c:v>84.2</c:v>
                </c:pt>
                <c:pt idx="12">
                  <c:v>130.69999999999999</c:v>
                </c:pt>
                <c:pt idx="13">
                  <c:v>106.7</c:v>
                </c:pt>
                <c:pt idx="14">
                  <c:v>209.8</c:v>
                </c:pt>
                <c:pt idx="15">
                  <c:v>163.9</c:v>
                </c:pt>
                <c:pt idx="16">
                  <c:v>179.1</c:v>
                </c:pt>
                <c:pt idx="17">
                  <c:v>98.6</c:v>
                </c:pt>
                <c:pt idx="18">
                  <c:v>218.5</c:v>
                </c:pt>
                <c:pt idx="19">
                  <c:v>83.8</c:v>
                </c:pt>
                <c:pt idx="20">
                  <c:v>61.9</c:v>
                </c:pt>
                <c:pt idx="21">
                  <c:v>161.1</c:v>
                </c:pt>
                <c:pt idx="22">
                  <c:v>28.3</c:v>
                </c:pt>
                <c:pt idx="23">
                  <c:v>165.3</c:v>
                </c:pt>
                <c:pt idx="24">
                  <c:v>200.6</c:v>
                </c:pt>
                <c:pt idx="25">
                  <c:v>126.1</c:v>
                </c:pt>
                <c:pt idx="26">
                  <c:v>219.5</c:v>
                </c:pt>
                <c:pt idx="27">
                  <c:v>33.6</c:v>
                </c:pt>
                <c:pt idx="28">
                  <c:v>92.9</c:v>
                </c:pt>
                <c:pt idx="29">
                  <c:v>155.4</c:v>
                </c:pt>
                <c:pt idx="30">
                  <c:v>213</c:v>
                </c:pt>
                <c:pt idx="31">
                  <c:v>55.7</c:v>
                </c:pt>
              </c:numCache>
            </c:numRef>
          </c:val>
        </c:ser>
        <c:overlap val="100"/>
        <c:axId val="85391232"/>
        <c:axId val="85392768"/>
      </c:barChart>
      <c:catAx>
        <c:axId val="85391232"/>
        <c:scaling>
          <c:orientation val="minMax"/>
        </c:scaling>
        <c:axPos val="b"/>
        <c:numFmt formatCode="General" sourceLinked="1"/>
        <c:tickLblPos val="nextTo"/>
        <c:txPr>
          <a:bodyPr/>
          <a:lstStyle/>
          <a:p>
            <a:pPr>
              <a:defRPr b="1"/>
            </a:pPr>
            <a:endParaRPr lang="fr-FR"/>
          </a:p>
        </c:txPr>
        <c:crossAx val="85392768"/>
        <c:crosses val="autoZero"/>
        <c:auto val="1"/>
        <c:lblAlgn val="ctr"/>
        <c:lblOffset val="100"/>
      </c:catAx>
      <c:valAx>
        <c:axId val="85392768"/>
        <c:scaling>
          <c:orientation val="minMax"/>
        </c:scaling>
        <c:axPos val="l"/>
        <c:majorGridlines/>
        <c:numFmt formatCode="General" sourceLinked="1"/>
        <c:tickLblPos val="nextTo"/>
        <c:txPr>
          <a:bodyPr/>
          <a:lstStyle/>
          <a:p>
            <a:pPr>
              <a:defRPr b="1"/>
            </a:pPr>
            <a:endParaRPr lang="fr-FR"/>
          </a:p>
        </c:txPr>
        <c:crossAx val="85391232"/>
        <c:crosses val="autoZero"/>
        <c:crossBetween val="between"/>
      </c:valAx>
    </c:plotArea>
    <c:legend>
      <c:legendPos val="r"/>
      <c:layout>
        <c:manualLayout>
          <c:xMode val="edge"/>
          <c:yMode val="edge"/>
          <c:x val="0.12754638029673229"/>
          <c:y val="0.9100271350436322"/>
          <c:w val="0.69867973504415448"/>
          <c:h val="8.8654380968554686E-2"/>
        </c:manualLayout>
      </c:layout>
      <c:txPr>
        <a:bodyPr/>
        <a:lstStyle/>
        <a:p>
          <a:pPr>
            <a:defRPr sz="1100" b="1"/>
          </a:pPr>
          <a:endParaRPr lang="fr-FR"/>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0097563152364852"/>
          <c:y val="3.8550415573053415E-2"/>
          <c:w val="0.74526429990260246"/>
          <c:h val="0.84866879921259863"/>
        </c:manualLayout>
      </c:layout>
      <c:barChart>
        <c:barDir val="col"/>
        <c:grouping val="clustered"/>
        <c:ser>
          <c:idx val="0"/>
          <c:order val="0"/>
          <c:tx>
            <c:strRef>
              <c:f>Feuil1!$E$213:$E$214</c:f>
              <c:strCache>
                <c:ptCount val="1"/>
                <c:pt idx="0">
                  <c:v>TKOUT </c:v>
                </c:pt>
              </c:strCache>
            </c:strRef>
          </c:tx>
          <c:cat>
            <c:strRef>
              <c:f>Feuil1!$D$215:$D$226</c:f>
              <c:strCache>
                <c:ptCount val="12"/>
                <c:pt idx="0">
                  <c:v>Sep</c:v>
                </c:pt>
                <c:pt idx="1">
                  <c:v>Oct</c:v>
                </c:pt>
                <c:pt idx="2">
                  <c:v>Nov</c:v>
                </c:pt>
                <c:pt idx="3">
                  <c:v>Dec</c:v>
                </c:pt>
                <c:pt idx="4">
                  <c:v>Jan</c:v>
                </c:pt>
                <c:pt idx="5">
                  <c:v>Fev</c:v>
                </c:pt>
                <c:pt idx="6">
                  <c:v>Mar</c:v>
                </c:pt>
                <c:pt idx="7">
                  <c:v>Avr</c:v>
                </c:pt>
                <c:pt idx="8">
                  <c:v>Mai</c:v>
                </c:pt>
                <c:pt idx="9">
                  <c:v>Jui</c:v>
                </c:pt>
                <c:pt idx="10">
                  <c:v>Juil</c:v>
                </c:pt>
                <c:pt idx="11">
                  <c:v>Aou</c:v>
                </c:pt>
              </c:strCache>
            </c:strRef>
          </c:cat>
          <c:val>
            <c:numRef>
              <c:f>Feuil1!$E$215:$E$226</c:f>
              <c:numCache>
                <c:formatCode>General</c:formatCode>
                <c:ptCount val="12"/>
                <c:pt idx="0">
                  <c:v>27.5</c:v>
                </c:pt>
                <c:pt idx="1">
                  <c:v>25</c:v>
                </c:pt>
                <c:pt idx="2">
                  <c:v>23.7</c:v>
                </c:pt>
                <c:pt idx="3">
                  <c:v>17.100000000000001</c:v>
                </c:pt>
                <c:pt idx="4">
                  <c:v>16.600000000000001</c:v>
                </c:pt>
                <c:pt idx="5">
                  <c:v>16.399999999999999</c:v>
                </c:pt>
                <c:pt idx="6">
                  <c:v>27.6</c:v>
                </c:pt>
                <c:pt idx="7">
                  <c:v>23.6</c:v>
                </c:pt>
                <c:pt idx="8">
                  <c:v>23.2</c:v>
                </c:pt>
                <c:pt idx="9">
                  <c:v>15.2</c:v>
                </c:pt>
                <c:pt idx="10">
                  <c:v>5.8</c:v>
                </c:pt>
                <c:pt idx="11">
                  <c:v>16.899999999999999</c:v>
                </c:pt>
              </c:numCache>
            </c:numRef>
          </c:val>
        </c:ser>
        <c:ser>
          <c:idx val="1"/>
          <c:order val="1"/>
          <c:tx>
            <c:strRef>
              <c:f>Feuil1!$F$213:$F$214</c:f>
              <c:strCache>
                <c:ptCount val="1"/>
                <c:pt idx="0">
                  <c:v>TIFELFEL</c:v>
                </c:pt>
              </c:strCache>
            </c:strRef>
          </c:tx>
          <c:cat>
            <c:strRef>
              <c:f>Feuil1!$D$215:$D$226</c:f>
              <c:strCache>
                <c:ptCount val="12"/>
                <c:pt idx="0">
                  <c:v>Sep</c:v>
                </c:pt>
                <c:pt idx="1">
                  <c:v>Oct</c:v>
                </c:pt>
                <c:pt idx="2">
                  <c:v>Nov</c:v>
                </c:pt>
                <c:pt idx="3">
                  <c:v>Dec</c:v>
                </c:pt>
                <c:pt idx="4">
                  <c:v>Jan</c:v>
                </c:pt>
                <c:pt idx="5">
                  <c:v>Fev</c:v>
                </c:pt>
                <c:pt idx="6">
                  <c:v>Mar</c:v>
                </c:pt>
                <c:pt idx="7">
                  <c:v>Avr</c:v>
                </c:pt>
                <c:pt idx="8">
                  <c:v>Mai</c:v>
                </c:pt>
                <c:pt idx="9">
                  <c:v>Jui</c:v>
                </c:pt>
                <c:pt idx="10">
                  <c:v>Juil</c:v>
                </c:pt>
                <c:pt idx="11">
                  <c:v>Aou</c:v>
                </c:pt>
              </c:strCache>
            </c:strRef>
          </c:cat>
          <c:val>
            <c:numRef>
              <c:f>Feuil1!$F$215:$F$226</c:f>
              <c:numCache>
                <c:formatCode>General</c:formatCode>
                <c:ptCount val="12"/>
                <c:pt idx="0">
                  <c:v>16.5</c:v>
                </c:pt>
                <c:pt idx="1">
                  <c:v>16.8</c:v>
                </c:pt>
                <c:pt idx="2">
                  <c:v>14.5</c:v>
                </c:pt>
                <c:pt idx="3">
                  <c:v>9.4</c:v>
                </c:pt>
                <c:pt idx="4">
                  <c:v>8.5500000000000007</c:v>
                </c:pt>
                <c:pt idx="5">
                  <c:v>14.8</c:v>
                </c:pt>
                <c:pt idx="6">
                  <c:v>18.25</c:v>
                </c:pt>
                <c:pt idx="7">
                  <c:v>16.3</c:v>
                </c:pt>
                <c:pt idx="8">
                  <c:v>11.9</c:v>
                </c:pt>
                <c:pt idx="9">
                  <c:v>6.4</c:v>
                </c:pt>
                <c:pt idx="10">
                  <c:v>1.8</c:v>
                </c:pt>
                <c:pt idx="11">
                  <c:v>9.9</c:v>
                </c:pt>
              </c:numCache>
            </c:numRef>
          </c:val>
        </c:ser>
        <c:ser>
          <c:idx val="2"/>
          <c:order val="2"/>
          <c:tx>
            <c:strRef>
              <c:f>Feuil1!$G$213:$G$214</c:f>
              <c:strCache>
                <c:ptCount val="1"/>
                <c:pt idx="0">
                  <c:v>FOUM EL GHERZA </c:v>
                </c:pt>
              </c:strCache>
            </c:strRef>
          </c:tx>
          <c:cat>
            <c:strRef>
              <c:f>Feuil1!$D$215:$D$226</c:f>
              <c:strCache>
                <c:ptCount val="12"/>
                <c:pt idx="0">
                  <c:v>Sep</c:v>
                </c:pt>
                <c:pt idx="1">
                  <c:v>Oct</c:v>
                </c:pt>
                <c:pt idx="2">
                  <c:v>Nov</c:v>
                </c:pt>
                <c:pt idx="3">
                  <c:v>Dec</c:v>
                </c:pt>
                <c:pt idx="4">
                  <c:v>Jan</c:v>
                </c:pt>
                <c:pt idx="5">
                  <c:v>Fev</c:v>
                </c:pt>
                <c:pt idx="6">
                  <c:v>Mar</c:v>
                </c:pt>
                <c:pt idx="7">
                  <c:v>Avr</c:v>
                </c:pt>
                <c:pt idx="8">
                  <c:v>Mai</c:v>
                </c:pt>
                <c:pt idx="9">
                  <c:v>Jui</c:v>
                </c:pt>
                <c:pt idx="10">
                  <c:v>Juil</c:v>
                </c:pt>
                <c:pt idx="11">
                  <c:v>Aou</c:v>
                </c:pt>
              </c:strCache>
            </c:strRef>
          </c:cat>
          <c:val>
            <c:numRef>
              <c:f>Feuil1!$G$215:$G$226</c:f>
              <c:numCache>
                <c:formatCode>General</c:formatCode>
                <c:ptCount val="12"/>
                <c:pt idx="0">
                  <c:v>12.04</c:v>
                </c:pt>
                <c:pt idx="1">
                  <c:v>9.33</c:v>
                </c:pt>
                <c:pt idx="2">
                  <c:v>16.510000000000005</c:v>
                </c:pt>
                <c:pt idx="3">
                  <c:v>8.0400000000000009</c:v>
                </c:pt>
                <c:pt idx="4">
                  <c:v>16.260000000000002</c:v>
                </c:pt>
                <c:pt idx="5">
                  <c:v>9.2399999999999984</c:v>
                </c:pt>
                <c:pt idx="6">
                  <c:v>14.950000000000006</c:v>
                </c:pt>
                <c:pt idx="7">
                  <c:v>11.83</c:v>
                </c:pt>
                <c:pt idx="8">
                  <c:v>8.3600000000000048</c:v>
                </c:pt>
                <c:pt idx="9">
                  <c:v>5.83</c:v>
                </c:pt>
                <c:pt idx="10">
                  <c:v>0.52</c:v>
                </c:pt>
                <c:pt idx="11">
                  <c:v>3.9299999999999997</c:v>
                </c:pt>
              </c:numCache>
            </c:numRef>
          </c:val>
        </c:ser>
        <c:axId val="81919360"/>
        <c:axId val="82269312"/>
      </c:barChart>
      <c:catAx>
        <c:axId val="81919360"/>
        <c:scaling>
          <c:orientation val="minMax"/>
        </c:scaling>
        <c:axPos val="b"/>
        <c:tickLblPos val="nextTo"/>
        <c:crossAx val="82269312"/>
        <c:crosses val="autoZero"/>
        <c:auto val="1"/>
        <c:lblAlgn val="ctr"/>
        <c:lblOffset val="100"/>
      </c:catAx>
      <c:valAx>
        <c:axId val="82269312"/>
        <c:scaling>
          <c:orientation val="minMax"/>
        </c:scaling>
        <c:axPos val="l"/>
        <c:majorGridlines/>
        <c:title>
          <c:tx>
            <c:rich>
              <a:bodyPr rot="-5400000" vert="horz"/>
              <a:lstStyle/>
              <a:p>
                <a:pPr>
                  <a:defRPr b="0"/>
                </a:pPr>
                <a:r>
                  <a:rPr lang="fr-FR" sz="1200" b="0" i="0" u="none" strike="noStrike" baseline="0"/>
                  <a:t>Précipitations (mm)</a:t>
                </a:r>
                <a:endParaRPr lang="fr-FR" sz="1200" b="0"/>
              </a:p>
            </c:rich>
          </c:tx>
        </c:title>
        <c:numFmt formatCode="General" sourceLinked="1"/>
        <c:tickLblPos val="nextTo"/>
        <c:crossAx val="81919360"/>
        <c:crosses val="autoZero"/>
        <c:crossBetween val="between"/>
      </c:valAx>
    </c:plotArea>
    <c:legend>
      <c:legendPos val="r"/>
      <c:layout>
        <c:manualLayout>
          <c:xMode val="edge"/>
          <c:yMode val="edge"/>
          <c:x val="0.86265760686357851"/>
          <c:y val="8.4764163091305744E-2"/>
          <c:w val="0.1267537751872112"/>
          <c:h val="0.37253628787007786"/>
        </c:manualLayout>
      </c:layout>
      <c:txPr>
        <a:bodyPr/>
        <a:lstStyle/>
        <a:p>
          <a:pPr>
            <a:defRPr sz="1000" b="0"/>
          </a:pPr>
          <a:endParaRPr lang="fr-F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8.8526512947339667E-2"/>
          <c:y val="3.6461457941141182E-2"/>
          <c:w val="0.90425652822227909"/>
          <c:h val="0.76545737017836379"/>
        </c:manualLayout>
      </c:layout>
      <c:barChart>
        <c:barDir val="col"/>
        <c:grouping val="clustered"/>
        <c:ser>
          <c:idx val="0"/>
          <c:order val="0"/>
          <c:cat>
            <c:strRef>
              <c:f>Feuil1!$G$293:$G$315</c:f>
              <c:strCache>
                <c:ptCount val="23"/>
                <c:pt idx="0">
                  <c:v>1971/1972</c:v>
                </c:pt>
                <c:pt idx="1">
                  <c:v>1972/1973</c:v>
                </c:pt>
                <c:pt idx="2">
                  <c:v>1973/1974</c:v>
                </c:pt>
                <c:pt idx="3">
                  <c:v>1974/1975</c:v>
                </c:pt>
                <c:pt idx="4">
                  <c:v>1975/1976</c:v>
                </c:pt>
                <c:pt idx="5">
                  <c:v>1976/1977</c:v>
                </c:pt>
                <c:pt idx="6">
                  <c:v>1977/1978</c:v>
                </c:pt>
                <c:pt idx="7">
                  <c:v>1978/1979</c:v>
                </c:pt>
                <c:pt idx="8">
                  <c:v>1979/1980</c:v>
                </c:pt>
                <c:pt idx="9">
                  <c:v>1980/1981</c:v>
                </c:pt>
                <c:pt idx="10">
                  <c:v>1981/1982</c:v>
                </c:pt>
                <c:pt idx="11">
                  <c:v>1982/1983</c:v>
                </c:pt>
                <c:pt idx="12">
                  <c:v>1983/1984</c:v>
                </c:pt>
                <c:pt idx="13">
                  <c:v>1984/1985</c:v>
                </c:pt>
                <c:pt idx="14">
                  <c:v>1985/1986</c:v>
                </c:pt>
                <c:pt idx="15">
                  <c:v>1986/1987</c:v>
                </c:pt>
                <c:pt idx="16">
                  <c:v>1987/1988</c:v>
                </c:pt>
                <c:pt idx="17">
                  <c:v>1988/1989</c:v>
                </c:pt>
                <c:pt idx="18">
                  <c:v>1989/1990</c:v>
                </c:pt>
                <c:pt idx="19">
                  <c:v>1990/1991</c:v>
                </c:pt>
                <c:pt idx="20">
                  <c:v>1991/1992</c:v>
                </c:pt>
                <c:pt idx="21">
                  <c:v>1992/1993</c:v>
                </c:pt>
                <c:pt idx="22">
                  <c:v>1993/1994</c:v>
                </c:pt>
              </c:strCache>
            </c:strRef>
          </c:cat>
          <c:val>
            <c:numRef>
              <c:f>Feuil1!$H$293:$H$315</c:f>
              <c:numCache>
                <c:formatCode>0.00</c:formatCode>
                <c:ptCount val="23"/>
                <c:pt idx="0">
                  <c:v>17.959999999999987</c:v>
                </c:pt>
                <c:pt idx="1">
                  <c:v>32.51</c:v>
                </c:pt>
                <c:pt idx="2">
                  <c:v>8.77</c:v>
                </c:pt>
                <c:pt idx="3">
                  <c:v>13.32</c:v>
                </c:pt>
                <c:pt idx="4">
                  <c:v>18</c:v>
                </c:pt>
                <c:pt idx="5">
                  <c:v>39.44</c:v>
                </c:pt>
                <c:pt idx="6">
                  <c:v>7.8599999999999985</c:v>
                </c:pt>
                <c:pt idx="7">
                  <c:v>7.26</c:v>
                </c:pt>
                <c:pt idx="8">
                  <c:v>21.810000000000031</c:v>
                </c:pt>
                <c:pt idx="9">
                  <c:v>15.66</c:v>
                </c:pt>
                <c:pt idx="10">
                  <c:v>4.5999999999999996</c:v>
                </c:pt>
                <c:pt idx="11">
                  <c:v>9.49</c:v>
                </c:pt>
                <c:pt idx="12">
                  <c:v>6.54</c:v>
                </c:pt>
                <c:pt idx="13">
                  <c:v>12.31</c:v>
                </c:pt>
                <c:pt idx="14">
                  <c:v>10.1</c:v>
                </c:pt>
                <c:pt idx="15">
                  <c:v>9.49</c:v>
                </c:pt>
                <c:pt idx="16">
                  <c:v>3.53</c:v>
                </c:pt>
                <c:pt idx="17">
                  <c:v>8.99</c:v>
                </c:pt>
                <c:pt idx="18">
                  <c:v>19.84</c:v>
                </c:pt>
                <c:pt idx="19">
                  <c:v>5.5</c:v>
                </c:pt>
                <c:pt idx="20">
                  <c:v>3.58</c:v>
                </c:pt>
                <c:pt idx="21">
                  <c:v>4.33</c:v>
                </c:pt>
                <c:pt idx="22">
                  <c:v>3.1</c:v>
                </c:pt>
              </c:numCache>
            </c:numRef>
          </c:val>
        </c:ser>
        <c:axId val="82285696"/>
        <c:axId val="82287232"/>
      </c:barChart>
      <c:catAx>
        <c:axId val="82285696"/>
        <c:scaling>
          <c:orientation val="minMax"/>
        </c:scaling>
        <c:axPos val="b"/>
        <c:numFmt formatCode="General" sourceLinked="0"/>
        <c:tickLblPos val="nextTo"/>
        <c:txPr>
          <a:bodyPr/>
          <a:lstStyle/>
          <a:p>
            <a:pPr>
              <a:defRPr b="1"/>
            </a:pPr>
            <a:endParaRPr lang="fr-FR"/>
          </a:p>
        </c:txPr>
        <c:crossAx val="82287232"/>
        <c:crossesAt val="0"/>
        <c:auto val="1"/>
        <c:lblAlgn val="ctr"/>
        <c:lblOffset val="100"/>
      </c:catAx>
      <c:valAx>
        <c:axId val="82287232"/>
        <c:scaling>
          <c:orientation val="minMax"/>
        </c:scaling>
        <c:axPos val="l"/>
        <c:majorGridlines/>
        <c:title>
          <c:tx>
            <c:rich>
              <a:bodyPr rot="-5400000" vert="horz"/>
              <a:lstStyle/>
              <a:p>
                <a:pPr>
                  <a:defRPr/>
                </a:pPr>
                <a:r>
                  <a:rPr lang="fr-FR" sz="1200"/>
                  <a:t>Apport (hm³)</a:t>
                </a:r>
              </a:p>
            </c:rich>
          </c:tx>
          <c:layout>
            <c:manualLayout>
              <c:xMode val="edge"/>
              <c:yMode val="edge"/>
              <c:x val="2.4632560400732711E-3"/>
              <c:y val="0.29970971277175334"/>
            </c:manualLayout>
          </c:layout>
        </c:title>
        <c:numFmt formatCode="General" sourceLinked="0"/>
        <c:tickLblPos val="nextTo"/>
        <c:crossAx val="82285696"/>
        <c:crosses val="autoZero"/>
        <c:crossBetween val="between"/>
        <c:minorUnit val="1"/>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403909580746851"/>
          <c:y val="5.9427787417779931E-2"/>
          <c:w val="0.8252261870044022"/>
          <c:h val="0.7810766498891325"/>
        </c:manualLayout>
      </c:layout>
      <c:lineChart>
        <c:grouping val="stacked"/>
        <c:ser>
          <c:idx val="0"/>
          <c:order val="0"/>
          <c:cat>
            <c:strRef>
              <c:f>DiskTurbid!$AH$7:$AH$18</c:f>
              <c:strCache>
                <c:ptCount val="12"/>
                <c:pt idx="0">
                  <c:v>sept</c:v>
                </c:pt>
                <c:pt idx="1">
                  <c:v>oct</c:v>
                </c:pt>
                <c:pt idx="2">
                  <c:v>nov</c:v>
                </c:pt>
                <c:pt idx="3">
                  <c:v>dec</c:v>
                </c:pt>
                <c:pt idx="4">
                  <c:v>jan</c:v>
                </c:pt>
                <c:pt idx="5">
                  <c:v>fev</c:v>
                </c:pt>
                <c:pt idx="6">
                  <c:v>mars </c:v>
                </c:pt>
                <c:pt idx="7">
                  <c:v>avril</c:v>
                </c:pt>
                <c:pt idx="8">
                  <c:v>mai</c:v>
                </c:pt>
                <c:pt idx="9">
                  <c:v>juin</c:v>
                </c:pt>
                <c:pt idx="10">
                  <c:v>juil</c:v>
                </c:pt>
                <c:pt idx="11">
                  <c:v>aout</c:v>
                </c:pt>
              </c:strCache>
            </c:strRef>
          </c:cat>
          <c:val>
            <c:numRef>
              <c:f>DiskTurbid!$AM$7:$AM$18</c:f>
              <c:numCache>
                <c:formatCode>General</c:formatCode>
                <c:ptCount val="12"/>
                <c:pt idx="0">
                  <c:v>3.2278798871640002</c:v>
                </c:pt>
                <c:pt idx="1">
                  <c:v>0.61385658561000023</c:v>
                </c:pt>
                <c:pt idx="2">
                  <c:v>0.33529963759200032</c:v>
                </c:pt>
                <c:pt idx="3">
                  <c:v>9.2619000000000544E-5</c:v>
                </c:pt>
                <c:pt idx="4">
                  <c:v>7.5888000000002051E-6</c:v>
                </c:pt>
                <c:pt idx="5">
                  <c:v>3.1720444397999988E-2</c:v>
                </c:pt>
                <c:pt idx="6">
                  <c:v>5.3418466800000577E-2</c:v>
                </c:pt>
                <c:pt idx="7">
                  <c:v>2.2580641980000052E-2</c:v>
                </c:pt>
                <c:pt idx="8">
                  <c:v>0.12049317126000224</c:v>
                </c:pt>
                <c:pt idx="9">
                  <c:v>0.34306015969800047</c:v>
                </c:pt>
                <c:pt idx="10">
                  <c:v>2.1152880000000008E-3</c:v>
                </c:pt>
                <c:pt idx="11">
                  <c:v>4.2640697519999993E-3</c:v>
                </c:pt>
              </c:numCache>
            </c:numRef>
          </c:val>
        </c:ser>
        <c:marker val="1"/>
        <c:axId val="99890688"/>
        <c:axId val="99892224"/>
      </c:lineChart>
      <c:catAx>
        <c:axId val="99890688"/>
        <c:scaling>
          <c:orientation val="minMax"/>
        </c:scaling>
        <c:axPos val="b"/>
        <c:tickLblPos val="nextTo"/>
        <c:txPr>
          <a:bodyPr/>
          <a:lstStyle/>
          <a:p>
            <a:pPr>
              <a:defRPr sz="1200" b="1"/>
            </a:pPr>
            <a:endParaRPr lang="fr-FR"/>
          </a:p>
        </c:txPr>
        <c:crossAx val="99892224"/>
        <c:crosses val="autoZero"/>
        <c:auto val="1"/>
        <c:lblAlgn val="ctr"/>
        <c:lblOffset val="100"/>
      </c:catAx>
      <c:valAx>
        <c:axId val="99892224"/>
        <c:scaling>
          <c:orientation val="minMax"/>
        </c:scaling>
        <c:axPos val="l"/>
        <c:majorGridlines/>
        <c:title>
          <c:tx>
            <c:rich>
              <a:bodyPr rot="-5400000" vert="horz"/>
              <a:lstStyle/>
              <a:p>
                <a:pPr>
                  <a:defRPr/>
                </a:pPr>
                <a:r>
                  <a:rPr lang="fr-FR" sz="1400" b="1" i="0" u="none" strike="noStrike" baseline="0" smtClean="0"/>
                  <a:t>Apports  solides (MT)</a:t>
                </a:r>
                <a:endParaRPr lang="fr-FR" sz="1400" b="1" i="0"/>
              </a:p>
            </c:rich>
          </c:tx>
          <c:layout>
            <c:manualLayout>
              <c:xMode val="edge"/>
              <c:yMode val="edge"/>
              <c:x val="1.5962196945341723E-2"/>
              <c:y val="9.288248581056649E-2"/>
            </c:manualLayout>
          </c:layout>
        </c:title>
        <c:numFmt formatCode="General" sourceLinked="1"/>
        <c:tickLblPos val="nextTo"/>
        <c:txPr>
          <a:bodyPr/>
          <a:lstStyle/>
          <a:p>
            <a:pPr>
              <a:defRPr sz="1200" b="1"/>
            </a:pPr>
            <a:endParaRPr lang="fr-FR"/>
          </a:p>
        </c:txPr>
        <c:crossAx val="99890688"/>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27622430304320178"/>
          <c:y val="3.1850453564059696E-2"/>
          <c:w val="0.72288697081037412"/>
          <c:h val="0.79538498050366557"/>
        </c:manualLayout>
      </c:layout>
      <c:barChart>
        <c:barDir val="col"/>
        <c:grouping val="clustered"/>
        <c:ser>
          <c:idx val="0"/>
          <c:order val="0"/>
          <c:tx>
            <c:strRef>
              <c:f>'061502'!$F$1175</c:f>
              <c:strCache>
                <c:ptCount val="1"/>
                <c:pt idx="0">
                  <c:v>Al (%)</c:v>
                </c:pt>
              </c:strCache>
            </c:strRef>
          </c:tx>
          <c:cat>
            <c:strRef>
              <c:f>'061502'!$E$1176:$E$1187</c:f>
              <c:strCache>
                <c:ptCount val="12"/>
                <c:pt idx="0">
                  <c:v>Sep</c:v>
                </c:pt>
                <c:pt idx="1">
                  <c:v>Oct</c:v>
                </c:pt>
                <c:pt idx="2">
                  <c:v>Nov</c:v>
                </c:pt>
                <c:pt idx="3">
                  <c:v>Déc</c:v>
                </c:pt>
                <c:pt idx="4">
                  <c:v>Jan</c:v>
                </c:pt>
                <c:pt idx="5">
                  <c:v>Fév</c:v>
                </c:pt>
                <c:pt idx="6">
                  <c:v>Mars</c:v>
                </c:pt>
                <c:pt idx="7">
                  <c:v>Avr</c:v>
                </c:pt>
                <c:pt idx="8">
                  <c:v>Mai</c:v>
                </c:pt>
                <c:pt idx="9">
                  <c:v>Juin</c:v>
                </c:pt>
                <c:pt idx="10">
                  <c:v>Juil</c:v>
                </c:pt>
                <c:pt idx="11">
                  <c:v>Aout</c:v>
                </c:pt>
              </c:strCache>
            </c:strRef>
          </c:cat>
          <c:val>
            <c:numRef>
              <c:f>'061502'!$F$1176:$F$1187</c:f>
              <c:numCache>
                <c:formatCode>0.00</c:formatCode>
                <c:ptCount val="12"/>
                <c:pt idx="0">
                  <c:v>20.711974110032688</c:v>
                </c:pt>
                <c:pt idx="1">
                  <c:v>8.8187702265372216</c:v>
                </c:pt>
                <c:pt idx="2">
                  <c:v>6.6343042071196852</c:v>
                </c:pt>
                <c:pt idx="3">
                  <c:v>6.0679611650485441</c:v>
                </c:pt>
                <c:pt idx="4">
                  <c:v>9.4660194174757297</c:v>
                </c:pt>
                <c:pt idx="5">
                  <c:v>7.6860841423948223</c:v>
                </c:pt>
                <c:pt idx="6">
                  <c:v>10.598705501618118</c:v>
                </c:pt>
                <c:pt idx="7">
                  <c:v>10.598705501618118</c:v>
                </c:pt>
                <c:pt idx="8">
                  <c:v>8.2524271844660202</c:v>
                </c:pt>
                <c:pt idx="9">
                  <c:v>5.9061488673139158</c:v>
                </c:pt>
                <c:pt idx="10">
                  <c:v>1.8608414239482332</c:v>
                </c:pt>
                <c:pt idx="11">
                  <c:v>3.3980582524271843</c:v>
                </c:pt>
              </c:numCache>
            </c:numRef>
          </c:val>
        </c:ser>
        <c:ser>
          <c:idx val="1"/>
          <c:order val="1"/>
          <c:tx>
            <c:strRef>
              <c:f>'061502'!$G$1175</c:f>
              <c:strCache>
                <c:ptCount val="1"/>
                <c:pt idx="0">
                  <c:v>As (%)</c:v>
                </c:pt>
              </c:strCache>
            </c:strRef>
          </c:tx>
          <c:cat>
            <c:strRef>
              <c:f>'061502'!$E$1176:$E$1187</c:f>
              <c:strCache>
                <c:ptCount val="12"/>
                <c:pt idx="0">
                  <c:v>Sep</c:v>
                </c:pt>
                <c:pt idx="1">
                  <c:v>Oct</c:v>
                </c:pt>
                <c:pt idx="2">
                  <c:v>Nov</c:v>
                </c:pt>
                <c:pt idx="3">
                  <c:v>Déc</c:v>
                </c:pt>
                <c:pt idx="4">
                  <c:v>Jan</c:v>
                </c:pt>
                <c:pt idx="5">
                  <c:v>Fév</c:v>
                </c:pt>
                <c:pt idx="6">
                  <c:v>Mars</c:v>
                </c:pt>
                <c:pt idx="7">
                  <c:v>Avr</c:v>
                </c:pt>
                <c:pt idx="8">
                  <c:v>Mai</c:v>
                </c:pt>
                <c:pt idx="9">
                  <c:v>Juin</c:v>
                </c:pt>
                <c:pt idx="10">
                  <c:v>Juil</c:v>
                </c:pt>
                <c:pt idx="11">
                  <c:v>Aout</c:v>
                </c:pt>
              </c:strCache>
            </c:strRef>
          </c:cat>
          <c:val>
            <c:numRef>
              <c:f>'061502'!$G$1176:$G$1187</c:f>
              <c:numCache>
                <c:formatCode>0.00</c:formatCode>
                <c:ptCount val="12"/>
                <c:pt idx="0">
                  <c:v>40.801925440526176</c:v>
                </c:pt>
                <c:pt idx="1">
                  <c:v>9.2601174359846841</c:v>
                </c:pt>
                <c:pt idx="2">
                  <c:v>7.4392068995792124</c:v>
                </c:pt>
                <c:pt idx="3">
                  <c:v>2.1366841226624512E-2</c:v>
                </c:pt>
                <c:pt idx="4">
                  <c:v>5.0289516828447181E-4</c:v>
                </c:pt>
                <c:pt idx="5">
                  <c:v>5.2446082019625724</c:v>
                </c:pt>
                <c:pt idx="6">
                  <c:v>9.2607895586573665</c:v>
                </c:pt>
                <c:pt idx="7">
                  <c:v>7.6680490347206574</c:v>
                </c:pt>
                <c:pt idx="8">
                  <c:v>8.6161130117035309</c:v>
                </c:pt>
                <c:pt idx="9">
                  <c:v>8.094862897395112</c:v>
                </c:pt>
                <c:pt idx="10">
                  <c:v>4.1708606614118655E-13</c:v>
                </c:pt>
                <c:pt idx="11">
                  <c:v>3.5924576327118167</c:v>
                </c:pt>
              </c:numCache>
            </c:numRef>
          </c:val>
        </c:ser>
        <c:axId val="82282368"/>
        <c:axId val="82283904"/>
      </c:barChart>
      <c:catAx>
        <c:axId val="82282368"/>
        <c:scaling>
          <c:orientation val="minMax"/>
        </c:scaling>
        <c:axPos val="b"/>
        <c:tickLblPos val="nextTo"/>
        <c:crossAx val="82283904"/>
        <c:crosses val="autoZero"/>
        <c:auto val="1"/>
        <c:lblAlgn val="ctr"/>
        <c:lblOffset val="100"/>
      </c:catAx>
      <c:valAx>
        <c:axId val="82283904"/>
        <c:scaling>
          <c:orientation val="minMax"/>
        </c:scaling>
        <c:axPos val="l"/>
        <c:majorGridlines/>
        <c:numFmt formatCode="0.00" sourceLinked="1"/>
        <c:tickLblPos val="nextTo"/>
        <c:crossAx val="82282368"/>
        <c:crosses val="autoZero"/>
        <c:crossBetween val="between"/>
      </c:valAx>
    </c:plotArea>
    <c:legend>
      <c:legendPos val="r"/>
      <c:layout>
        <c:manualLayout>
          <c:xMode val="edge"/>
          <c:yMode val="edge"/>
          <c:x val="0.8514445640374817"/>
          <c:y val="0.41510444622871262"/>
          <c:w val="0.13871096555950041"/>
          <c:h val="0.16979110754257631"/>
        </c:manualLayout>
      </c:layout>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2483772601341499"/>
          <c:y val="2.4296255003522792E-2"/>
          <c:w val="0.75038801399825061"/>
          <c:h val="0.62337831212606265"/>
        </c:manualLayout>
      </c:layout>
      <c:barChart>
        <c:barDir val="col"/>
        <c:grouping val="clustered"/>
        <c:ser>
          <c:idx val="0"/>
          <c:order val="0"/>
          <c:tx>
            <c:strRef>
              <c:f>Feuil1!$G$6</c:f>
              <c:strCache>
                <c:ptCount val="1"/>
                <c:pt idx="0">
                  <c:v>AL (%)</c:v>
                </c:pt>
              </c:strCache>
            </c:strRef>
          </c:tx>
          <c:cat>
            <c:strRef>
              <c:f>Feuil1!$E$7:$E$12</c:f>
              <c:strCache>
                <c:ptCount val="5"/>
                <c:pt idx="1">
                  <c:v>Sep+oct+nov</c:v>
                </c:pt>
                <c:pt idx="2">
                  <c:v>Dec+janv+fév</c:v>
                </c:pt>
                <c:pt idx="3">
                  <c:v>Mars+avr+mai</c:v>
                </c:pt>
                <c:pt idx="4">
                  <c:v>Jui+juil+aout</c:v>
                </c:pt>
              </c:strCache>
            </c:strRef>
          </c:cat>
          <c:val>
            <c:numRef>
              <c:f>Feuil1!$G$7:$G$12</c:f>
              <c:numCache>
                <c:formatCode>General</c:formatCode>
                <c:ptCount val="6"/>
                <c:pt idx="1">
                  <c:v>36.160000000000011</c:v>
                </c:pt>
                <c:pt idx="2">
                  <c:v>23.23</c:v>
                </c:pt>
                <c:pt idx="3">
                  <c:v>29.45</c:v>
                </c:pt>
                <c:pt idx="4">
                  <c:v>11.17</c:v>
                </c:pt>
              </c:numCache>
            </c:numRef>
          </c:val>
        </c:ser>
        <c:ser>
          <c:idx val="1"/>
          <c:order val="1"/>
          <c:tx>
            <c:strRef>
              <c:f>Feuil1!$I$6</c:f>
              <c:strCache>
                <c:ptCount val="1"/>
                <c:pt idx="0">
                  <c:v>As (%)</c:v>
                </c:pt>
              </c:strCache>
            </c:strRef>
          </c:tx>
          <c:cat>
            <c:strRef>
              <c:f>Feuil1!$E$7:$E$12</c:f>
              <c:strCache>
                <c:ptCount val="5"/>
                <c:pt idx="1">
                  <c:v>Sep+oct+nov</c:v>
                </c:pt>
                <c:pt idx="2">
                  <c:v>Dec+janv+fév</c:v>
                </c:pt>
                <c:pt idx="3">
                  <c:v>Mars+avr+mai</c:v>
                </c:pt>
                <c:pt idx="4">
                  <c:v>Jui+juil+aout</c:v>
                </c:pt>
              </c:strCache>
            </c:strRef>
          </c:cat>
          <c:val>
            <c:numRef>
              <c:f>Feuil1!$I$7:$I$12</c:f>
              <c:numCache>
                <c:formatCode>General</c:formatCode>
                <c:ptCount val="6"/>
                <c:pt idx="1">
                  <c:v>57.5</c:v>
                </c:pt>
                <c:pt idx="2">
                  <c:v>5.26</c:v>
                </c:pt>
                <c:pt idx="3">
                  <c:v>25.55</c:v>
                </c:pt>
                <c:pt idx="4">
                  <c:v>11.68</c:v>
                </c:pt>
              </c:numCache>
            </c:numRef>
          </c:val>
        </c:ser>
        <c:axId val="99921280"/>
        <c:axId val="99927168"/>
      </c:barChart>
      <c:catAx>
        <c:axId val="99921280"/>
        <c:scaling>
          <c:orientation val="minMax"/>
        </c:scaling>
        <c:axPos val="b"/>
        <c:tickLblPos val="nextTo"/>
        <c:crossAx val="99927168"/>
        <c:crosses val="autoZero"/>
        <c:auto val="1"/>
        <c:lblAlgn val="ctr"/>
        <c:lblOffset val="100"/>
      </c:catAx>
      <c:valAx>
        <c:axId val="99927168"/>
        <c:scaling>
          <c:orientation val="minMax"/>
        </c:scaling>
        <c:axPos val="l"/>
        <c:majorGridlines/>
        <c:numFmt formatCode="General" sourceLinked="1"/>
        <c:tickLblPos val="nextTo"/>
        <c:crossAx val="99921280"/>
        <c:crosses val="autoZero"/>
        <c:crossBetween val="between"/>
      </c:valAx>
    </c:plotArea>
    <c:legend>
      <c:legendPos val="r"/>
    </c:legend>
    <c:plotVisOnly val="1"/>
  </c:chart>
  <c:externalData r:id="rId1"/>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E4EF0E-950F-4C15-870E-50999AA0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1</Pages>
  <Words>4461</Words>
  <Characters>24538</Characters>
  <Application>Microsoft Office Word</Application>
  <DocSecurity>0</DocSecurity>
  <Lines>204</Lines>
  <Paragraphs>57</Paragraphs>
  <ScaleCrop>false</ScaleCrop>
  <HeadingPairs>
    <vt:vector size="2" baseType="variant">
      <vt:variant>
        <vt:lpstr>Titre</vt:lpstr>
      </vt:variant>
      <vt:variant>
        <vt:i4>1</vt:i4>
      </vt:variant>
    </vt:vector>
  </HeadingPairs>
  <TitlesOfParts>
    <vt:vector size="1" baseType="lpstr">
      <vt:lpstr>Chapitre I :                                             donnés générale</vt:lpstr>
    </vt:vector>
  </TitlesOfParts>
  <Company/>
  <LinksUpToDate>false</LinksUpToDate>
  <CharactersWithSpaces>28942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 :                                             donnés générale</dc:title>
  <dc:subject/>
  <dc:creator>hicham</dc:creator>
  <cp:keywords/>
  <dc:description/>
  <cp:lastModifiedBy>hicham</cp:lastModifiedBy>
  <cp:revision>34</cp:revision>
  <dcterms:created xsi:type="dcterms:W3CDTF">2013-06-04T07:26:00Z</dcterms:created>
  <dcterms:modified xsi:type="dcterms:W3CDTF">2013-06-15T12:48:00Z</dcterms:modified>
</cp:coreProperties>
</file>